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95 vom 9. Dezember 2010</w:t>
      </w:r>
    </w:p>
    <w:p>
      <w:r>
        <w:t>VD Tribunal cantonal, 2010-12-09, FR</w:t>
      </w:r>
    </w:p>
    <w:p>
      <w:r>
        <w:rPr>
          <w:b/>
        </w:rPr>
        <w:t xml:space="preserve">Quelle: </w:t>
      </w:r>
      <w:r>
        <w:t>https://mcp.opencaselaw.ch/entscheid/vd_findinfo_ML___2011___95</w:t>
      </w:r>
    </w:p>
    <w:p>
      <w:r>
        <w:t>FR: VD_FINDINFO ML / 2011 / 95 du 9 décembre 2010</w:t>
      </w:r>
    </w:p>
    <w:p>
      <w:r>
        <w:t>IT: VD_FINDINFO ML / 2011 / 95 del 9 dicembre 2010</w:t>
      </w:r>
    </w:p>
    <w:p>
      <w:pPr>
        <w:pStyle w:val="Heading2"/>
      </w:pPr>
      <w:r>
        <w:t>Regeste</w:t>
      </w:r>
    </w:p>
    <w:p>
      <w:r>
        <w:t>MAINLEVÉE PROVISOIRE, BAIL À LOYER | 128 ch. 1 CO, 269d CO, 270 al. 2 CO, 465 al. 3 CPC, 1 LFOCL, 82 LP</w:t>
      </w:r>
    </w:p>
    <w:p>
      <w:pPr>
        <w:pStyle w:val="Heading2"/>
      </w:pPr>
      <w:r>
        <w:t>Erwägungen</w:t>
      </w:r>
    </w:p>
    <w:p>
      <w:r>
        <w:rPr>
          <w:b/>
        </w:rPr>
        <w:t>E. 1</w:t>
      </w:r>
    </w:p>
    <w:p>
      <w:r>
        <w:t>CO) a été interrompue par une première poursuite notifiée le 25 septembre 2004, puis par un prononcé de mainlevée expédié le 21 mars 2005, puis par un jugement du Tribunal des baux du 14 février 2006 et de la Chambre des recours du Tribunal cantonal du 11 janvier 2007. De toute manière, le recourant n'a pas invoqué le moyen de la prescription. c) Le recourant a conclu à titre titre subsidiaire à la nullité du prononcé. Toutefois, aucun cas de nullité ne doit être retenu d’office ; comme le recourant n’a fait valoir aucun motif de nullité, sa conclusion ne peut qu'être rejetée (art. 465 al.</w:t>
      </w:r>
    </w:p>
    <w:p>
      <w:r>
        <w:rPr>
          <w:b/>
        </w:rPr>
        <w:t>E. 3</w:t>
      </w:r>
    </w:p>
    <w:p>
      <w:r>
        <w:t>CPC applicable par renvoi de l'art. 58 al. 1 er LVLP; Poudret/Haldy/Tappy, Code de procédure civile annoté, 3 e éd., n. 2 ad art. 465 CPC). III. En définitive, le recours est rejeté et le prononcé attaqué confirmé. Les frais d’arrêt du recourant sont fixés à 630 francs. Ce dernier doit payer à l’intimé la somme de 1’000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