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 vom 14. Oktober 2010</w:t>
      </w:r>
    </w:p>
    <w:p>
      <w:r>
        <w:t>VD Tribunal cantonal, 2010-10-14, FR</w:t>
      </w:r>
    </w:p>
    <w:p>
      <w:r>
        <w:rPr>
          <w:b/>
        </w:rPr>
        <w:t xml:space="preserve">Quelle: </w:t>
      </w:r>
      <w:r>
        <w:t>https://mcp.opencaselaw.ch/entscheid/vd_findinfo_ML___2011___9</w:t>
      </w:r>
    </w:p>
    <w:p>
      <w:r>
        <w:t>FR: VD_FINDINFO ML / 2011 / 9 du 14 octobre 2010</w:t>
      </w:r>
    </w:p>
    <w:p>
      <w:r>
        <w:t>IT: VD_FINDINFO ML / 2011 / 9 del 14 ottobre 2010</w:t>
      </w:r>
    </w:p>
    <w:p>
      <w:pPr>
        <w:pStyle w:val="Heading2"/>
      </w:pPr>
      <w:r>
        <w:t>Regeste</w:t>
      </w:r>
    </w:p>
    <w:p>
      <w:r>
        <w:t>CONTRAT BILATÉRAL, EXIGIBILITÉ, MAINLEVÉE PROVISOIRE, TITRE DE MAINLEVÉE | 82 LP</w:t>
      </w:r>
    </w:p>
    <w:p>
      <w:pPr>
        <w:pStyle w:val="Heading2"/>
      </w:pPr>
      <w:r>
        <w:t>Erwägungen</w:t>
      </w:r>
    </w:p>
    <w:p>
      <w:r>
        <w:rPr>
          <w:b/>
        </w:rPr>
        <w:t>E. 3</w:t>
      </w:r>
    </w:p>
    <w:p>
      <w:r>
        <w:t>e éd., n. 2 ad art. 465 CPC). Ses autres conclusions sont valablement formulées, de sorte que le recours est formellement recevable en tant que recours en réforme (art. 461 ss CPC). En revanche, les pièces produites en deuxième instance, dans la mesure où il s'agit de pièces nouvelles ne figurant pas au dossier de première instance, sont irrecevables en vertu de l'art. 58 al. 3 LVLP et doivent être écartées. II. a)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 Gilliéron, Commentaire de la loi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 Un contrat écrit justifie, en principe, la mainlevée provisoire de l'opposition pour la somme d'argent dont la prestation incombe au poursuivi, lorsque les conditions d'exigibilité de la dette sont établies par titre et, en particulier dans les contrats bilatéraux, le poursuivant prouve par titre avoir exécuté les prestations dont dépend l'exigibilité de sa créance (Gilliéron, op. cit., n. 44 ad art. 82 LP). b) La présente poursuite est fondée sur un contrat d'écolage du 24 octobre 2005 et un document intitulé "Reconnaissance de dette" du 27 septembre 2006. S'agissant du contrat, on observe qu'il a été passé entre U.________ SA et [...] - née le 8 mai 1987, donc majeure au moment de la signature, le 24 octobre 2005 - et sa mère, S.________, comme représentante légale. Le contrat a donc été passé, en tous les cas, entre la poursuivante et l'élève. La question de savoir s'il engage également la poursuivie peut être laissée ouverte, dans la mesure où les modalités de ce contrat ont été modifiées par la reconnais-sance de dette du 27 septembre 2006. En effet, dans cet acte, S.________ "reconnaît devoir à U.________ SA le solde de l’inscription, les écolages échus et les écolages à venir pour la formation de sa fille [...] selon son contrat d’écolage". A supposer qu'il n'existe pas d'engagement valable de la poursuivie dans le contrat précité, cette reconnaissance de dette constitue une reprise cumulative de dette valable , le reprenant et le débiteur initial devenant ainsi tous deux débiteurs solidaires, offrant au créancier la possibilité de réclamer la totalité de la créance à l'un ou à l'autre (Tercier, Le droit des obligations, n. 1363). Dans la reconnaissance de dette du 27 septembre 2006, les parties ont convenu que S.________ verserait à U.________ SA d’ici au 31 décembre 2006 un acompte supplémentaire de 1'400 fr., qu'elle réglerait l'entier de la dette sitôt qu’elle touchera l’héritage de son défunt mari et qu'un entretien serait fixé fin octobre après l’audience au Tribunal afin de faire un état de la dette de la prénommée et d’échelonner des paiements. Hormis l'acompte, cet accord ne mentionne aucun montant et ne fixe pas d'échéance pour le paiement de la dette, qui dépend du moment où la débitrice touchera son héritage ; on ignore si l'entretien projeté a eu lieu et si l'échelonnement des paiements a pu être fixé. Ainsi, la quotité de la créance réclamée n'est pas reconnue par la poursuivie dans ce document et son exigibilité reste indéterminée. Il n'appartient pas au juge de la mainlevée d'interpréter la volonté des parties ni de se livrer à des calculs compliqués et peu sûrs pour déterminer le montant de la créance ; il doit limiter son examen à la question de l'existence d'une reconnaissance de dette pouvant justifier la mainlevée de l'opposition, donc à déterminer si l'on est en présence d'un acte signé du débiteur d'où ressort sa volonté de payer au poursuivant, sans réserve ni condition, une somme d'argent  déterminée, ou aisément déterminable. En l'absence d'un tel acte, ce qui est le cas en l'espèce, la mainlevée ne saurait être prononcée. III. Le recours doit donc être rejeté et le prononcé attaqué confirmé. Les frais de deuxième instance de la recourante sont arrêtés à 510 francs. Celle-ci doit verser à S.________ la somme de 800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