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66 vom 14. Oktober 2010</w:t>
      </w:r>
    </w:p>
    <w:p>
      <w:r>
        <w:t>VD Tribunal cantonal, 2010-10-14, FR</w:t>
      </w:r>
    </w:p>
    <w:p>
      <w:r>
        <w:rPr>
          <w:b/>
        </w:rPr>
        <w:t xml:space="preserve">Quelle: </w:t>
      </w:r>
      <w:r>
        <w:t>https://mcp.opencaselaw.ch/entscheid/vd_findinfo_ML___2011___66</w:t>
      </w:r>
    </w:p>
    <w:p>
      <w:r>
        <w:t>FR: VD_FINDINFO ML / 2011 / 66 du 14 octobre 2010</w:t>
      </w:r>
    </w:p>
    <w:p>
      <w:r>
        <w:t>IT: VD_FINDINFO ML / 2011 / 66 del 14 ottobre 2010</w:t>
      </w:r>
    </w:p>
    <w:p>
      <w:pPr>
        <w:pStyle w:val="Heading2"/>
      </w:pPr>
      <w:r>
        <w:t>Regeste</w:t>
      </w:r>
    </w:p>
    <w:p>
      <w:r>
        <w:t>MAINLEVÉE DÉFINITIVE, DÉCLARATION D'EXÉCUTION | 27 ch. 2 CL, 31 al. 1 CL, 38 CL, 40 ch. 2 CL, 46 CL, 80 LP, 58 al. 3 LVLP</w:t>
      </w:r>
    </w:p>
    <w:p>
      <w:pPr>
        <w:pStyle w:val="Heading2"/>
      </w:pPr>
      <w:r>
        <w:t>Erwägungen</w:t>
      </w:r>
    </w:p>
    <w:p>
      <w:r>
        <w:rPr>
          <w:b/>
        </w:rPr>
        <w:t>E. 1</w:t>
      </w:r>
    </w:p>
    <w:p>
      <w:r>
        <w:t>CL soient remplis (Donzallaz, op. cit., p. 767, n. 3751). c) Le premier juge a admis dans sa motivation que le dispositif était entaché d’une erreur. Cependant, il n’a pas formellement modifié son dispositif puisqu’il a renvoyé, au pied de sa motivation, au texte notifié le 26 février 2010. Il faut donc constater que le premier juge a provisoirement levé l’opposition. La poursuivante n’a pas recouru sur ce point. III. En définitive, le recours doit être rejeté et le prononcé attaqué confirmé. Les frais d’arrêt de la recourante sont fixés à 570 francs. La recourante doit payer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