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6 vom 14. Oktober 2010</w:t>
      </w:r>
    </w:p>
    <w:p>
      <w:r>
        <w:t>VD Tribunal cantonal, 2010-10-14, FR</w:t>
      </w:r>
    </w:p>
    <w:p>
      <w:r>
        <w:rPr>
          <w:b/>
        </w:rPr>
        <w:t xml:space="preserve">Quelle: </w:t>
      </w:r>
      <w:r>
        <w:t>https://mcp.opencaselaw.ch/entscheid/vd_findinfo_ML___2011___6</w:t>
      </w:r>
    </w:p>
    <w:p>
      <w:r>
        <w:t>FR: VD_FINDINFO ML / 2011 / 6 du 14 octobre 2010</w:t>
      </w:r>
    </w:p>
    <w:p>
      <w:r>
        <w:t>IT: VD_FINDINFO ML / 2011 / 6 del 14 ottobre 2010</w:t>
      </w:r>
    </w:p>
    <w:p>
      <w:pPr>
        <w:pStyle w:val="Heading2"/>
      </w:pPr>
      <w:r>
        <w:t>Regeste</w:t>
      </w:r>
    </w:p>
    <w:p>
      <w:r>
        <w:t>MAINLEVÉE PROVISOIRE, RECONNAISSANCE DE DETTE, HONORAIRES | 82 LP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avril 2004/125; CPF,</w:t>
      </w:r>
    </w:p>
    <w:p>
      <w:r>
        <w:rPr>
          <w:b/>
        </w:rPr>
        <w:t>E. 9</w:t>
      </w:r>
    </w:p>
    <w:p>
      <w:r>
        <w:t>juin 2005/89; CPF, 3 mai 2007/139). En l'espèce, pour contester l'authenticité de sa signature sur la lettre du 8 avril 2005, le recourant se réfère à celle qu'il a apposée sur le commandement de payer. Certes ces deux signatures – très similaires – présentent quelques divergences. On ne saurait toutefois exclure que la signature d'une personne diffère quelque peu d'un document à l'autre, surtout à cinq ans d'intervalle. Le poursuivi n'a pas produit d'autres spécimens de sa signature permettant la comparaison. Au vu des pièces figurant au dossier, il y a lieu d'admettre que, compte tenu de la présomption mentionnée ci-dessus, le recourant n'a pas rendu sa contestation suffisamment vraisemblable. IV. Le recours doit donc être rejeté et le prononcé attaqué confirmé. Les frais de deuxième instance du recourant sont arrêtés à 510 francs. Celui-ci doit verser à l'intimé D.________ la somme de 600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