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53 vom 4. April 2011</w:t>
      </w:r>
    </w:p>
    <w:p>
      <w:r>
        <w:t>VD Tribunal cantonal, 2011-04-04, FR</w:t>
      </w:r>
    </w:p>
    <w:p>
      <w:r>
        <w:rPr>
          <w:b/>
        </w:rPr>
        <w:t xml:space="preserve">Quelle: </w:t>
      </w:r>
      <w:r>
        <w:t>https://mcp.opencaselaw.ch/entscheid/vd_findinfo_ML___2011___53</w:t>
      </w:r>
    </w:p>
    <w:p>
      <w:r>
        <w:t>FR: VD_FINDINFO ML / 2011 / 53 du 4 avril 2011</w:t>
      </w:r>
    </w:p>
    <w:p>
      <w:r>
        <w:t>IT: VD_FINDINFO ML / 2011 / 53 del 4 aprile 2011</w:t>
      </w:r>
    </w:p>
    <w:p>
      <w:pPr>
        <w:pStyle w:val="Heading2"/>
      </w:pPr>
      <w:r>
        <w:t>Regeste</w:t>
      </w:r>
    </w:p>
    <w:p>
      <w:r>
        <w:t>ACTE DE RECOURS, CONCLUSIONS | 17 CPC, 461 CPC, 58 al. 1 LVLP</w:t>
      </w:r>
    </w:p>
    <w:p>
      <w:pPr>
        <w:pStyle w:val="Heading2"/>
      </w:pPr>
      <w:r>
        <w:t>Volltext</w:t>
      </w:r>
    </w:p>
    <w:p>
      <w:r>
        <w:t>Vaud Tribunal cantonal Cour des poursuites et faillites 04.04.2011 ML / 2011 / 53</w:t>
      </w:r>
    </w:p>
    <w:p>
      <w:r>
        <w:t>ACTE DE RECOURS, CONCLUSIONS | 17 CPC, 461 CPC, 58 al. 1 LVLP</w:t>
      </w:r>
    </w:p>
    <w:p>
      <w:r>
        <w:t>TRIBUNAL CANTONAL 119 Cour des poursuites et faillites ________________________________________________ Arrêt du 4 avril 2011 ________________ Présidence de               M. Hack , président Juges :              M. Sauterel et Mme Rouleau Greffier : Mme              Debétaz Ponnaz ***** Art. 58 al. 1 LVLP,  17 et  461 CPC-VD Vu la décision rendue le 6 septembre 2010, à la suite de l'audience du 30 juin 2010, par le Juge de paix du district de l'Ouest lausannois, prononçant la mainlevée définitive de l'opposition formée par B.________ , à Ecublens, à la poursuite n° 5'220'440 de l'Office des poursuites du district de Morges en paiement de 600 fr. sans intérêt, exercée contre lui à l'instance du Canton de Berne , représenté par l' Office d'encaissement, Arrondissement Bern-Mitteland , arrêtant à 120 fr. les frais de justice de la partie poursuivante et disant que le poursuivi devait verser à celle-ci la somme de 120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par B.________ contre ce prononcé, qu'il avait reçu le 13 septembre 2010, par acte daté du 21 et posté le 18 septembre 2010, vu le prononcé motivé adressé pour notification aux parties le 15 novembre 2010, que le poursuivi a reçu le 23 novembre 2010, vu le recours adressé directement à la cour de céans par B.________ le 30 novembre 2010, demandant à la cour de patienter jusqu'à droit connu sur une procédure ouverte dans le Canton de Berne; attendu que le recours peut être formé dans le délai de demande de motivation (art. 54 al. 3 LVLP), lequel est de dix jours dès la réception du dispositif (art. 54 al. 1 LVLP), qu'en l'espèce, l'acte déposé le 18 septembre 2010 l'a été en temps utile, que le recours posté le 30 novembre 2010, dans le délai de dix jours suivant la notification du prononcé motivé de première instance, a également été formé en temps utile (art. 57 al. 1 LVLP), qu'en revanche, ces deux écritures ne comportent aucune conclusion, c'est-à-dire l'énoncé exact des réclamations du recourant, en réforme ou en nullité, au sens de l'art. 461 CPC-VD (Code de procédure civile vaudoise; RSV 270.11) applicable par le renvoi de l'art. 58 al. 1 LVLP, contre la décision de mainlevée, qu'en application de l'art. 17 CPC-VD, le président de la cour de céans, par avis adressé à B.________ en courrier recommandé avec accusé de réception le 26 janvier 2011, lui a imparti un délai de cinq jours dès réception pour refaire son acte de recours en précisant ses conclusions et notamment le montant exact – en chiffres – qu'il contestait ou reconnaissait devoir, faute de quoi le recours pourrait être déclaré irrecevable, que l'intéressé a reçu cet avis le 31 janvier 2011 et a produit le 5 février 2011, soit en temps utile, une nouvelle écriture, dans laquelle il revient sur le fond de l'affaire et demande, implicitement, une suspension de la procédure, mais ne prend toujours aucune conclusion ni ne soulève aucun moyen de recours reconnaissable, en réforme ou en nullité, contre le prononcé de mainlevée,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avril 2011 L'arrêt qui précède, dont la rédaction a été approuvée à huis clos, prend date de ce jour. Il est notifié, par l'envoi de photocopies, à : ‑ M. B.________, ‑ Canton de Berne, Office d'encaissement, Arrondissement Bern-Mitteland.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