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52 vom 4. April 2011</w:t>
      </w:r>
    </w:p>
    <w:p>
      <w:r>
        <w:t>VD Tribunal cantonal, 2011-04-04, FR</w:t>
      </w:r>
    </w:p>
    <w:p>
      <w:r>
        <w:rPr>
          <w:b/>
        </w:rPr>
        <w:t xml:space="preserve">Quelle: </w:t>
      </w:r>
      <w:r>
        <w:t>https://mcp.opencaselaw.ch/entscheid/vd_findinfo_ML___2011___52</w:t>
      </w:r>
    </w:p>
    <w:p>
      <w:r>
        <w:t>FR: VD_FINDINFO ML / 2011 / 52 du 4 avril 2011</w:t>
      </w:r>
    </w:p>
    <w:p>
      <w:r>
        <w:t>IT: VD_FINDINFO ML / 2011 / 52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52</w:t>
      </w:r>
    </w:p>
    <w:p>
      <w:r>
        <w:t>ACTE DE RECOURS, CONCLUSIONS | 17 CPC, 461 CPC, 58 al. 1 LVLP</w:t>
      </w:r>
    </w:p>
    <w:p>
      <w:r>
        <w:t>TRIBUNAL CANTONAL 120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6 septembre 2010, à la suite de l'audience du 30 juin 2010, par le Juge de paix du district de l'Ouest lausannois, prononçant la mainlevée définitive de l'opposition formée par D.________ , à Ecublens, à la poursuite n° 5'220'449 de l'Office des poursuites du district de Morges en paiement de 500 fr. sans intérêt, exercée contre lui à l'instance du Canton de Berne , représenté par l' Office d'encaissement, Arrondissement Bern-Mitteland , arrêtant à 90 fr. les frais de justice de la partie poursuivante et disant que le poursuivi devait verser à celle-ci la somme de 90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D.________ contre ce prononcé, qu'il avait reçu le 13 septembre 2010, par acte daté du 21 et posté le 18 septembre 2010, vu le prononcé motivé adressé pour notification aux parties le 15 novembre 2010, que le poursuivi a reçu le 23 novembre 2010, vu le recours adressé directement à la cour de céans par D.________ le 30 novembre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18 septembre 2010 l'a été en temps utile, que le recours posté le 30 novembre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D.________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D.________, ‑ Canton de Berne, Office d'encaissement, Arrondissement Bern-Mitteland.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