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45 vom 6. Mai 2011</w:t>
      </w:r>
    </w:p>
    <w:p>
      <w:r>
        <w:t>VD Tribunal cantonal, 2011-05-06, FR</w:t>
      </w:r>
    </w:p>
    <w:p>
      <w:r>
        <w:rPr>
          <w:b/>
        </w:rPr>
        <w:t xml:space="preserve">Quelle: </w:t>
      </w:r>
      <w:r>
        <w:t>https://mcp.opencaselaw.ch/entscheid/vd_findinfo_ML___2011___45</w:t>
      </w:r>
    </w:p>
    <w:p>
      <w:r>
        <w:t>FR: VD_FINDINFO ML / 2011 / 45 du 6 mai 2011</w:t>
      </w:r>
    </w:p>
    <w:p>
      <w:r>
        <w:t>IT: VD_FINDINFO ML / 2011 / 45 del 6 maggio 2011</w:t>
      </w:r>
    </w:p>
    <w:p>
      <w:pPr>
        <w:pStyle w:val="Heading2"/>
      </w:pPr>
      <w:r>
        <w:t>Regeste</w:t>
      </w:r>
    </w:p>
    <w:p>
      <w:r>
        <w:t>INTÉRÊT DIGNE DE PROTECTION, QUALITÉ POUR RECOURIR | 76 al. 1 let. b LTF</w:t>
      </w:r>
    </w:p>
    <w:p>
      <w:pPr>
        <w:pStyle w:val="Heading2"/>
      </w:pPr>
      <w:r>
        <w:t>Volltext</w:t>
      </w:r>
    </w:p>
    <w:p>
      <w:r>
        <w:t>Vaud Tribunal cantonal Cour des poursuites et faillites 06.05.2011 ML / 2011 / 45</w:t>
      </w:r>
    </w:p>
    <w:p>
      <w:r>
        <w:t>INTÉRÊT DIGNE DE PROTECTION, QUALITÉ POUR RECOURIR | 76 al. 1 let. b LTF</w:t>
      </w:r>
    </w:p>
    <w:p>
      <w:r>
        <w:t>TRIBUNAL CANTONAL 166 Cour des poursuites et faillites ________________________________________________ Arrêt du 6 mai 2011 ______________ Présidence de               M. Sauterel , vice-président Juges :              M. Bosshard et Mme Rouleau Greffier : Mme              Debétaz Ponnaz ***** Art. 76 al. 1 let. b LTF par analogie Vu le prononcé rendu le 29 octobre 2010, à la suite de l'audience du 2 septembre 2010, par le Juge de paix du district de Lausanne, dans la poursuite n° 5'226'891 de l'Office des poursuites de Lausanne-Est exercée contre D.________ , à Lausanne, à l'instance de F.________SA , à Lausanne, vu le prononcé motivé adressé pour notification aux parties le 18 janvier 2011, vu le recours formé par D.________ le 21 janvier 2011; attendu qu'en vertu de l'art. 405 al. 1 CPC (Code de procédure civile du 19 décembre 2008; RS 272 – entré en vigueur le 1 er janvier 2011), le recours est régi par les dispositions de procédure de la LVLP (loi vaudoise d'application de la loi fédérale sur la poursuite pour dettes et la faillite; RSV 280.05) dans sa rédaction en vigueur jusqu'au 31 décembre 2010 (art. 45 ss LVLP), que le recours déposé dans le délai de dix jours suivant la notification du prononcé motivé de première instance a ainsi été formé en temps utile (art. 57 al. 1 LVLP); attendu que l'existence d'un intérêt à recourir est requis pour l'exercice de toute voie de droit (ATF 130 III 102 c. 1.3, rés. in JT 2004 I 234; ATF 127 III 429 c. 1b, rés. in JT 2001 I 371; ATF 126 III 198 c. 2b; ATF 120 II 5 c. 2a, JT 1997 I 59), qu'un tel intérêt fait défaut lorsque le recourant critique la motivation de la décision rendue, mais sans proposer d'aboutir à un résultat différent (Corboz, Commentaire de la LTF [loi du 17 juin 2005 sur le Tribunal fédéral – RS 173.110], n. 19 ad art. 76 LTF), que l'absence d'un tel intérêt est sanctionnée par l'irrecevabilité du recours (CPF 16 janvier 2009/6; CPF, 4 août 2006/409; CPF, 7 octobre 2004/444), qu'en l'espèce, le premier juge a rejeté la requête de mainlevée déposée par F.________SA dans la poursuite dirigée contre D.________ et mis les frais de justice à la charge de la partie poursuivante, que le poursuivi D.________ a ainsi obtenu gain de cause et ne dispose dès lors d'aucun intérêt à recourir, que son recours du 21 janvier 2011 est donc irrecevable;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6 mai 2011 L'arrêt qui précède, dont la rédaction a été approuvée à huis clos, prend date de ce jour. Il est notifié, par l'envoi de photocopies, à : ‑ M. D.________, ‑ F.________SA. La Cour des poursuites et faillites considère que la valeur litigieuse est de 1'132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