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35 vom 14. Oktober 2010</w:t>
      </w:r>
    </w:p>
    <w:p>
      <w:r>
        <w:t>VD Tribunal cantonal, 2010-10-14, FR</w:t>
      </w:r>
    </w:p>
    <w:p>
      <w:r>
        <w:rPr>
          <w:b/>
        </w:rPr>
        <w:t xml:space="preserve">Quelle: </w:t>
      </w:r>
      <w:r>
        <w:t>https://mcp.opencaselaw.ch/entscheid/vd_findinfo_ML___2011___35</w:t>
      </w:r>
    </w:p>
    <w:p>
      <w:r>
        <w:t>FR: VD_FINDINFO ML / 2011 / 35 du 14 octobre 2010</w:t>
      </w:r>
    </w:p>
    <w:p>
      <w:r>
        <w:t>IT: VD_FINDINFO ML / 2011 / 35 del 14 ottobre 2010</w:t>
      </w:r>
    </w:p>
    <w:p>
      <w:pPr>
        <w:pStyle w:val="Heading2"/>
      </w:pPr>
      <w:r>
        <w:t>Regeste</w:t>
      </w:r>
    </w:p>
    <w:p>
      <w:r>
        <w:t>MAINLEVÉE PROVISOIRE, CONTRAT DE SERVICE, CHANGEMENT DE DÉBITEUR | 176 CO, 82 LP</w:t>
      </w:r>
    </w:p>
    <w:p>
      <w:pPr>
        <w:pStyle w:val="Heading2"/>
      </w:pPr>
      <w:r>
        <w:t>Erwägungen</w:t>
      </w:r>
    </w:p>
    <w:p>
      <w:r>
        <w:rPr>
          <w:b/>
        </w:rPr>
        <w:t>E. 1</w:t>
      </w:r>
    </w:p>
    <w:p>
      <w:r>
        <w:t>LVLP). En revanche, les pièces produites tant par la recourante avec son mémoire ampliatif que par l’intimé avec son mémoire responsif, dans la mesure où elles sont nouvelles, sont irrecevables, l’art. 58 al. 3 LVLP prohibant, en matière de mainlevée d’opposition, l’administration de nouvelles preuves en procédure de recours.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Le contrat de service et son avenant du 26 septembre 2008, signés par le poursuivi, constituent sans doute des reconnaissances de dette au sens de la disposition précitée. Ils ne justifient toutefois pas, en l'espèce, le prononcé de la mainlevée pour les motifs qui suivent. b) En vertu de l’art. 82 al. 2 LP, le juge prononce la mainlevée provisoire de l’opposition, à moins que le débiteur ne rende vraisemblable sa libération.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 persuadé de l’existence de faits ;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les références citées ; Krauskopf, La mainlevée provisoire : quelques jurisprudences récentes, in JT 2008 II 23 ss, p. 43 ; CPF, 21 janvier 2010/28). Le poursuivi peut soulever, et rendre vraisemblables, notamment les moyens que le juge de la mainlevée peut et doit relever d’office (Gilliéron, op. cit., n. 81 ad art. 82 LP), en particulier l’identité du poursuivi et du débiteur désigné dans la reconnaissance de dette (Gilliéron, op. cit., n. 74 ad art. 82 LP). En l'occurrence, le poursuivi invoque le défaut d’identité entre lui-même et le débiteur désigné dans la reconnaissance de dette, en raison de la reprise de dette, ou plus exactement par la reprise du contrat (Probst, Commentaire romand, n. 18 ad Intro. art. 175-183 CO), par la société à responsabilité limitée Chernex Discount Sàrl. Aux termes de l’art. 176 CO, le remplacement de l’ancien débiteur et sa libération s’opèrent par un contrat entre le reprenant et le créancier. L’offre de conclure ce contrat peut résulter de la communication faite au créancier par le reprenant ou, avec l’autorisation de celui-ci, par l’ancien débiteur, de la convention intervenue entre eux. Le consentement du créancier peut être exprès ou résulter des circonstances ; il se présume lorsque, sans faire de réserves, le créancier accepte un paiement ou consent à quelque autre acte accompli par le reprenant à titre de débiteur (art. 176 al. 3 CO). Il y a également acceptation tacite de l’offre par le créancier, si celui-ci demande l’exécution de la dette au reprenant (Probst, op. cit., n. 8 ad art. 176 CO). En l’espèce, il ressort des pièces produites que c'est [...] qui avait contresigné la lettre de la poursuivante du 1 er septembre 2009 sur les modalités de paiement de la redevance, que c'est à cette société que la poursuivante s’est adressée le 18 janvier 2010 pour réclamer un solde de 2'324 fr. 10 en exécution du contrat de service signé avec le poursuivi et que la résiliation de ce contrat émane également de [...]. Tous ces éléments tendent vers la reprise de contrat invoquée par l'intimé. Certes, la présomption de l’art. 176 al. 3 CO est réfragable (Probst, op. cit., n. 8 in fine ad art. 176 CO), mais à ce stade, le poursuivi a rendu vraisemblable sa libération et il appartiendra, le cas échéant, au juge du fond de décider s’il s’agit d’une reprise cumulative – et non privative – de dette. Dans ces conditions, c’est à juste titre que le premier juge a rejeté la requête de mainlevée. III. Par conséquent, le recours doit être rejeté et le prononcé entrepris confirmé. Les frais de deuxième instance de la recourante H.________ Sàrl sont arrêtés à 270 francs. Il n’y a pas lieu d’allouer de dépens à l’intimé qui n’a pas procédé avec l’assistance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