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342 vom 29. Februar 2012</w:t>
      </w:r>
    </w:p>
    <w:p>
      <w:r>
        <w:t>VD Tribunal cantonal, 2012-02-29, FR</w:t>
      </w:r>
    </w:p>
    <w:p>
      <w:r>
        <w:rPr>
          <w:b/>
        </w:rPr>
        <w:t xml:space="preserve">Quelle: </w:t>
      </w:r>
      <w:r>
        <w:t>https://mcp.opencaselaw.ch/entscheid/vd_findinfo_ML___2011___342</w:t>
      </w:r>
    </w:p>
    <w:p>
      <w:r>
        <w:t>FR: VD_FINDINFO ML / 2011 / 342 du 29 février 2012</w:t>
      </w:r>
    </w:p>
    <w:p>
      <w:r>
        <w:t>IT: VD_FINDINFO ML / 2011 / 342 del 29 febbraio 2012</w:t>
      </w:r>
    </w:p>
    <w:p>
      <w:pPr>
        <w:pStyle w:val="Heading2"/>
      </w:pPr>
      <w:r>
        <w:t>Regeste</w:t>
      </w:r>
    </w:p>
    <w:p>
      <w:r>
        <w:t>MAINLEVÉE PROVISOIRE, PRÊT DE CONSOMMATION, PRÊT À USAGE | 82 LP</w:t>
      </w:r>
    </w:p>
    <w:p>
      <w:pPr>
        <w:pStyle w:val="Heading2"/>
      </w:pPr>
      <w:r>
        <w:t>Erwägungen</w:t>
      </w:r>
    </w:p>
    <w:p>
      <w:r>
        <w:rPr>
          <w:b/>
        </w:rPr>
        <w:t>E. 4</w:t>
      </w:r>
    </w:p>
    <w:p>
      <w:r>
        <w:t>février 2011 et notifié le 9 février 2011. En revanche, la réquisition de poursuite n'a pas été produite, de sorte que le requérant échoue à établir que l'exigibilité ait existé déjà à ce moment. Pour ce premier motif, le recours doit être rejeté. III. En vertu de l'art. 82 al. 2 LP, le juge prononce la mainlevée provisoire de l'opposition, à moins que le débiteur ne rende vraisemblable sa libération. La vraisemblance du moyen libératoire suffit à mettre en échec la requête de mainlevée provisoire (Gilléron, op. cit., n. 82 ad art. 82 LP). Cela signifie que les faits pertinents doivent simplement être vraisemblables: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références citées). Mode d'extinction de la dette, la compensation doit être rendue vraisemblable dans son principe et dans sa quotité par la production de pièces (Krauskopf, op. cit, p. 45; Gilléron, op. cit., n. 81 ad art. 82 LP; Panchaud/Caprez, op. cit., § 28). De simples affirmations de la partie ne suffisent pas à rendre un fait vraisemblable. Le juge de la mainlevée n'a toutefois pas à établir, en principe, la quote-part concrète de la compensation, dès lors que cette question dépasse son pouvoir d'examen (ATF 115 III 97, JT 1991 II 47 c. 4d et les références citées). En l'espèce, l'intimé a produit des pièces démontrant que, déjà avant la dénonciation des prêts au remboursement, il avait émis des prétentions relatives au contrat de travail le liant au recourant. En particulier, les certificats médicaux produits contredisent les motifs invoqués par le recourant pour licencier l'intimé avec effet immédiat, savoir l'abandon d'emploi. Ainsi, par les pièces qu'il a produites, l'intimé a rendu vraisemblable l'existence d'une créance compensante d'un montant supérieur ou égal au montant de la poursuite. Dans son recours, le recourant allègue que l'intimé serait forclos à se prévaloir d'une résiliation abusive du contrat. S'il se peut que des prétentions fondées sur l'art. 336b CO soient à ce jour prescrites, tel n'est pas le cas de celles fondées sur le droit au salaire ou sur l'absence de justes motifs de renvoi immédiat. De telles prétentions sont exigibles et peuvent être déduites en justice. La décision du premier juge est ainsi justifiée. Elle doit être confirmée et le recours rejeté. IV. Les frais judiciaires de deuxième instance, arrêtés à 690 fr., sont mis à la charge du recourant qui succombe. Ce dernier doit verser à l'intimé, qui a été assisté d'un conseil, la somme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