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2011 / 34 vom 11. Dezember 2000</w:t>
      </w:r>
    </w:p>
    <w:p>
      <w:r>
        <w:t>VD Tribunal cantonal, 2000-12-11, FR</w:t>
      </w:r>
    </w:p>
    <w:p>
      <w:r>
        <w:rPr>
          <w:b/>
        </w:rPr>
        <w:t xml:space="preserve">Quelle: </w:t>
      </w:r>
      <w:r>
        <w:t>https://mcp.opencaselaw.ch/entscheid/vd_findinfo_ML___2011___34</w:t>
      </w:r>
    </w:p>
    <w:p>
      <w:r>
        <w:t>FR: VD_FINDINFO ML / 2011 / 34 du 11 décembre 2000</w:t>
      </w:r>
    </w:p>
    <w:p>
      <w:r>
        <w:t>IT: VD_FINDINFO ML / 2011 / 34 del 11 dicembre 2000</w:t>
      </w:r>
    </w:p>
    <w:p>
      <w:pPr>
        <w:pStyle w:val="Heading2"/>
      </w:pPr>
      <w:r>
        <w:t>Regeste</w:t>
      </w:r>
    </w:p>
    <w:p>
      <w:r>
        <w:t>MAINLEVÉE DÉFINITIVE, DROIT D'ÊTRE ENTENDU, DÉPENS, INTÉRÊT MORATOIRE | 80 LP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août 2008. L’opposition est maintenue pour le surplus. Les frais de première instance de la poursuivante sont arrêtés à 150 francs. Le poursuivi doit payer à la poursuivante la somme de 225 fr. à titre de dépens de première instance. Les frais d’arrêt du recourant sont fixés à 315 francs. Le recourant doit payer à l’intimée la somme de 100 fr. à titre de dépens de deuxième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