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2011 / 335 vom 25. August 2011</w:t>
      </w:r>
    </w:p>
    <w:p>
      <w:r>
        <w:t>VD Tribunal cantonal, 2011-08-25, FR</w:t>
      </w:r>
    </w:p>
    <w:p>
      <w:r>
        <w:rPr>
          <w:b/>
        </w:rPr>
        <w:t xml:space="preserve">Quelle: </w:t>
      </w:r>
      <w:r>
        <w:t>https://mcp.opencaselaw.ch/entscheid/vd_findinfo_ML___2011___335</w:t>
      </w:r>
    </w:p>
    <w:p>
      <w:r>
        <w:t>FR: VD_FINDINFO ML / 2011 / 335 du 25 août 2011</w:t>
      </w:r>
    </w:p>
    <w:p>
      <w:r>
        <w:t>IT: VD_FINDINFO ML / 2011 / 335 del 25 agosto 2011</w:t>
      </w:r>
    </w:p>
    <w:p>
      <w:pPr>
        <w:pStyle w:val="Heading2"/>
      </w:pPr>
      <w:r>
        <w:t>Regeste</w:t>
      </w:r>
    </w:p>
    <w:p>
      <w:r>
        <w:t>PRÊT DE CONSOMMATION, SOLIDARITÉ PASSIVE, PRESTATION EN ARGENT, RESTITUTION{EN GÉNÉRAL} | 143 CO, 144 CO, 82 LP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avril 2002. Les frais de première instance de la poursuivante sont fixés à 480 fr. et la poursuivie doit payer à celle-ci 1'080 fr. à titre de dépens. Les frais de deuxième instance de la recourante sont fixés à 750 francs et l’intimée doit lui payer un montant de 1'650 fr. à titre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