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321 vom 3. Januar 2012</w:t>
      </w:r>
    </w:p>
    <w:p>
      <w:r>
        <w:t>VD Tribunal cantonal, 2012-01-03, FR</w:t>
      </w:r>
    </w:p>
    <w:p>
      <w:r>
        <w:rPr>
          <w:b/>
        </w:rPr>
        <w:t xml:space="preserve">Quelle: </w:t>
      </w:r>
      <w:r>
        <w:t>https://mcp.opencaselaw.ch/entscheid/vd_findinfo_ML___2011___321</w:t>
      </w:r>
    </w:p>
    <w:p>
      <w:r>
        <w:t>FR: VD_FINDINFO ML / 2011 / 321 du 3 janvier 2012</w:t>
      </w:r>
    </w:p>
    <w:p>
      <w:r>
        <w:t>IT: VD_FINDINFO ML / 2011 / 321 del 3 gennaio 2012</w:t>
      </w:r>
    </w:p>
    <w:p>
      <w:pPr>
        <w:pStyle w:val="Heading2"/>
      </w:pPr>
      <w:r>
        <w:t>Regeste</w:t>
      </w:r>
    </w:p>
    <w:p>
      <w:r>
        <w:t>DÉCLARATION D'EXÉCUTION, MAINLEVÉE DÉFINITIVE, DÉCISION EXÉCUTOIRE, NOTIFICATION DE LA DÉCISION, NOTIFICATION IRRÉGULIÈRE, NOTIFICATION PAR HUISSIER | 25 CL, 27 ch. 2 CL, 34 CL, 46 CL, 80 al. 1 LP, 81 al. 3 LP</w:t>
      </w:r>
    </w:p>
    <w:p>
      <w:pPr>
        <w:pStyle w:val="Heading2"/>
      </w:pPr>
      <w:r>
        <w:t>Erwägungen</w:t>
      </w:r>
    </w:p>
    <w:p>
      <w:r>
        <w:rPr>
          <w:b/>
        </w:rPr>
        <w:t>E. 25</w:t>
      </w:r>
    </w:p>
    <w:p>
      <w:r>
        <w:t>aCL, toute décision rendue par une juridiction d'un Etat contractant, quelle que soit la dénomination qui lui est donnée, telle qu'arrêt, jugement, ordonnance ou mandat d'exécution, ainsi que la fixation par le greffier du montant des frais du procès. La décision en  cause doit être exécutoire dans l'Etat d'origine, caractère qui peut ressortir de la décision elle-même, de la loi d'Etat d'origine ou d'un document spécial en attestant (Donzallaz, La Convention de Lugano, vol. II, § 3521, pp. 677-678), mais l'art. 31 al. 1 aCL n'exige pas qu'elle ait force de chose jugée. L'exequatur peut ainsi être accordée à des mesures provisionnelles - à condition qu'elles aient été rendues en contradictoire - à une décision au fond exécutoire par provision et au référé provision du droit français fondé sur l'art. 809 NCPC (Kaufmann-Kohler, L'exécution des décisions étrangères selon la Convention de Lugano : titres susceptibles d'exécution, mainlevée définitive, procédure d'exequatur, mesures conservatoires, in SJ 1997, pp. 561 ss, spéc. pp. 562-565). En l’occurrence la décision est une injonction de payer au sens des art. 1405 ss du Nouveau Code de Procédure Civile français (NCPC), auxquels elle fait référence. Le juge statue sur la base de la requête et des pièces  justificatives produites par le créancier. Le débiteur peut former opposition (art. 1412 NCPC); s’il ne le fait pas, il ne pourra plus exercer aucun recours et pourra être contraint par toutes voies de droit de payer les sommes réclamées (art. 1413 NCPC). L’injonction vaut alors titre exécutoire; la décision produite comporte d’ailleurs cette mention, faute d’opposition formée dans le délai d’un mois dès la notification. L'injonction de payer des art. 1405 ss NCPC correspond dans les grandes lignes à un "procedimento d'ingiuzione" italien, soit une procédure sommaire permettant au créancier, sur la base d'une requête non communiquée initialement à la partie adverse, d'obtenir un titre exécutoire à l'encontre du débiteur. La Cour de justice des Communautés européennes (CJCE) a confirmé que le "decreto ingiuntivo" du droit italien constituait une décision au sens de la Convention de Bruxelles du 27 septembre 1968, portant également sur la compétence judiciaire et l'exécution des décisions en matière civile et commerciale et sur laquelle est calquée la Convention de Lugano (CJCE, Hengst Import BV c. Anna Maria Campese, 13 juillet 1995, affaire C-474/93). Le Tribunal fédéral a également admis que le "decreto ingiuntivo" constituait bien une décision au sens de l'art. 25 aCL (TF 4A_80/2007 du 31 août 2007). La cour de céans a considéré que ces principes pouvaient être appliqués à l'ordonnance d'injonction française, qui constitue une institution tout à fait comparable au "decreto ingiuntivo" (CPF, 27 novembre 2008/565). d) Conformément à l'art. 34 al. 2 aCL, la requête d'exequatur ne peut être rejetée que pour l'un des motifs prévus aux art. 27 et 28 aCL. En vertu de l'art. 27 ch. 2 aCL, les décisions ne sont pas reconnues si l'acte introductif d'instance ou un acte équivalent n'a pas été signifié ou notifié au défendeur défaillant, régulièrement et en temps utile, pour qu'il puisse se défendre. L'art. 46 ch. 2 aCL prévoit que la partie qui demande la reconnaissance doit produire l'original ou une copie certifiée conforme du document établissant que l'acte introductif d'instance ou un acte équivalent a été signifié ou notifié à la partie défaillante. En l’occurrence, c'est avec raison que le premier juge a retenu que l’ordonnance d’injonction doit être considérée comme un acte introductif d’instance dès lors que la procédure qui précède n’est pas contradictoire et qu’il s’agit du premier acte notifié au débiteur. La Convention de Lugano ne précise pas au regard de quelles règles il faut vérifier la régularité de la notification. Il s'agit du droit de l'Etat où la décision a été prononcée, lorsque la notification a été faite sur son territoire (Reinhold Geimer/Rolf Schütze, Europäisches Zivilverfahrensrecht : Kommentar zum […] Lugano Übereinkommen […], Munich 2004, ch. 130, p. 567; Walther, Kommentar zum Lugano- Übereindommen, n. 47 ad art. 27 aCL; TF 4A_161/2008 du 1er juillet 2008, SJ 2009 I 144, c. 3.1). L'art. 27 al. 2 aCL a donc pour conséquence que le juge requis peut être amené à vérifier la régularité des notifications purement nationales (Donzallaz, La Convention de Lugano, vol. II, n. 2988). Selon cet auteur, cette disposition ne constitue qu'un cas particulier de l'ordre public procédural garanti de manière générale par le ch. 1 de l'art. 27 aCL (Donzallaz, op. cit., vol. II, n. 2989). La prise en compte de l'ordre public procédural doit normalement procéder d'une approche formelle et non matérielle : une fois identifié et qualifié quant à son importance, il importe peu que le vice en question ait causé concrètement un résultat particulier (Donzallaz, op. cit., vol. II, n. 2974). Les termes de l'art. 27 ch. 2 aCL signifient que la notification doit être intrinsèquement correcte et avoir mis le défendeur en mesure de se défendre (Donzallaz, op. cit., vol. II, n. 2976). La double garantie accordée par l'art. 27 ch. 2 aCL ne saurait cependant aboutir à cautionner les comportements les plus choquants, empreints de volonté dilatoire. La parenté de cette disposition avec la réserve d'ordre public permet d'affirmer que cette norme ne peut avoir pour but que de garantir le respect de droits importants - le droit à la notification en est un - respectivement l'interdiction de lésions importantes de tels droits (Donzallaz, op.cit., vol. II, n. 2980). Une citation peut être régulière même si elle n'atteint pas son destinataire; il suffit que toutes les mesures nécessaires aient été prises pour que le défendeur ait été effectivement informé en temps utile (Donzallaz, op. cit., vol I, n. 1240). En revanche, s'il est établi que le défendeur a été effectivement atteint en temps utile, une notification défectueuse produit en principe ses effets en dépit de son irrégularité (TF 4A_161/2008, du 1er juillet 2008 déjà cité, SJ 2009 I 144, c. 4.1) e) Selon l’art. 651 NCPC, les actes sont portés à la connaissance des intéressés par la notification qui leur en est faite. La notification faite par acte d'huissier de justice est une signification. La notification peut toujours être faite par voie de signification alors même que la loi l'aurait prévue sous une autre forme. Les règles sur la signification sont contenues aux art. 653 et ss NCPC. Lorsque la personne à qui l'acte doit être signifié n'a ni domicile, ni résidence, ni lieu de travail connus, l'huissier de justice doit procéder conformément à l'art. 659 NCPC. Selon cette disposition, l'huissier de justice doit dans un tel cas dresser un procès-verbal où il relate avec précision les diligences qu'il a accomplies pour rechercher le destinataire de l'acte; le même jour ou, au plus tard le premier jour ouvrable suivant, à peine de nullité, l'huissier de justice envoie au destinataire, à la dernière adresse connue, par lettre recommandée avec demande d'avis de réception, une copie du procès-verbal à laquelle est jointe une copie de l'acte objet de la signification (al. 1). Il doit aviser le jour même le destinataire, par lettre simple de l'accomplissement de cette formalité (al. 2). L'huissier de justice ne doit cependant se résoudre à recourir à ce procédé de signification que s'il ignore réellement où trouver le destinataire et le procès-verbal est là pour attester de ses diligences. Concrètement, l'huissier doit procéder à "toutes les recherches que commandent la prudence, la vigilance et la bonne foi" (Leborgne, Encyclopédie Dalloz, Procédure I, Actes de procédure, n. 343 et la jurisprudence citée). L'huissier devra en particulier vérifier si un changement d'adresse n'a pas été fait auprès des services de la poste, effectuer toutes recherches sur le lieu de travail, à la mairie, auprès des services de police, au registre du commerce (Leborgne, op. cit., n. 344). L'art. 662 NCPC autorise le juge à prescrire d'office toutes diligences complémentaires. Dans la pratique, il est rare toutefois qu'un magistrat fasse usage de cette disposition : soit il estimera les diligences suffisantes et se contentera de la signification selon l'art. 659 NCPC, soit elles lui apparaîtront insuffisantes, mais ce sera souvent après coup, lorsque le destinataire se plaindra de la nullité de l'acte (Leborgne, op. cit., n. 349). Selon l’injonction de payer, la signification a été "effectuée le 28-07-2006 par procès-verbal de recherche". Il résulte toutefois des principes précédemment exposés que le juge français peut examiner après coup si les recherches de l'huissier ont été suffisantes au regard des diligences requises. f) En l'occurrence, le procès-verbal des opérations effectuées par l'huissier n'a pas été produit, de sorte que l'on ignore s'il a procédé à toutes les recherches que l'on pouvait exiger de lui compte tenu des circonstances. En premier lieu, il n'a pas été démontré que l'huissier devait recourir à ce procédé de notification. Ensuite, il n'est pas établi que l'adresse de l'intimée, dans la mesure où elle ne correspondait pas à celle indiquée sur la décision en cause, aurait fait l'objet des recherches usuelles auprès des personnes et institutions aptes à renseigner, telles que la poste, la mairie, l'employeur éventuel. Dès lors que le dossier ne contient aucune pièce permettant d'examiner la régularité de la signification de l'injonction de payer, notamment en regard de l'art. 659 NCPC, on ne saurait retenir que la recourante a satisfait à son obligation d'établir la notification de l'acte introductif d'instance. Par ailleurs, rien ne permet d'affirmer qu'en dépit de cette notification défectueuse, l'intimée aurait été atteinte en temps utile. g) Au vu de ce qui précède, l'ordonnance du 5 juillet 2006 du Tribunal d'instance de Montpellier ne peut être déclarée exécutoire. C'est donc à bon droit que le premier juge a rejeté la requête de mainlevée de l'opposition. Cette solution est du reste en harmonie avec la volonté du législateur suisse qui, à l'occasion de la ratification de la Convention de Lugano révisée a admis un certain assouplissement des conséquences d'une irrégularité formelle de la notification, mais a formulé une réserve quant à la relativisation trop grande des droits du défendeur (FF 2009, pp. 1497 ss, pp. 1523-1524). IV. Le recours doit en conséquence être rejeté. Les frais de deuxième instance sont arrêtés à 570 francs. Il n'y a pas lieu d'allouer des dépens à l'intimée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