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313 vom 20. Dezember 2011</w:t>
      </w:r>
    </w:p>
    <w:p>
      <w:r>
        <w:t>VD Tribunal cantonal, 2011-12-20, FR</w:t>
      </w:r>
    </w:p>
    <w:p>
      <w:r>
        <w:rPr>
          <w:b/>
        </w:rPr>
        <w:t xml:space="preserve">Quelle: </w:t>
      </w:r>
      <w:r>
        <w:t>https://mcp.opencaselaw.ch/entscheid/vd_findinfo_ML___2011___313</w:t>
      </w:r>
    </w:p>
    <w:p>
      <w:r>
        <w:t>FR: VD_FINDINFO ML / 2011 / 313 du 20 décembre 2011</w:t>
      </w:r>
    </w:p>
    <w:p>
      <w:r>
        <w:t>IT: VD_FINDINFO ML / 2011 / 313 del 20 dicembre 2011</w:t>
      </w:r>
    </w:p>
    <w:p>
      <w:pPr>
        <w:pStyle w:val="Heading2"/>
      </w:pPr>
      <w:r>
        <w:t>Regeste</w:t>
      </w:r>
    </w:p>
    <w:p>
      <w:r>
        <w:t>DETTE DE COTISATION, MAINLEVÉE PROVISOIRE, TITRE DE MAINLEVÉE, ULTRA PETITA | 82 al. 1 LP, 82 al. 2 LP, 82 LP</w:t>
      </w:r>
    </w:p>
    <w:p>
      <w:pPr>
        <w:pStyle w:val="Heading2"/>
      </w:pPr>
      <w:r>
        <w:t>Erwägungen</w:t>
      </w:r>
    </w:p>
    <w:p>
      <w:r>
        <w:rPr>
          <w:b/>
        </w:rPr>
        <w:t>E. 31</w:t>
      </w:r>
    </w:p>
    <w:p>
      <w:r>
        <w:t>fr. 40, dès le 1 er janvier 2009. III. a) Le recourant soutient qu'il a été abordé par le secrétaire syndical d'I.________ alors qu'il travaillait sur un chantier sans porter l'équipement de sécurité et qu'il aurait signé la déclaration d'adhésion en pensant, par erreur, qu'il s'agissait d'un "PV d'infraction" justifié par le fait qu'il ne portait pas l'équipement idoine. Le secrétaire syndical, qui n'arborait pas le logo du syndicat sur ses vêtements, ne se serait présenté qu'après avoir obtenu la signature du recourant. Le recourant fait ainsi valoir qu'il a été trompé lorsqu'il a signé la déclaration d'adhésion à un syndicat auquel il n'avait aucune intention de s'affilier, se prévalant ainsi implicitement d'un vice du consentement. b) En matière de mainlevée, la vraisemblance du moyen libératoire suffit à mettre en échec la requête de mainlevée provisoire (Gilliéron, op. cit., n. 82 ad art. 82 LP). Cela signifie que les faits pertinents doivent simplement être vraisemblables : le juge n'a pas à être persuadé de l'existence des allégués de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Il 187 et les références citées). c) En l'occurrence, les pièces produites en première instance ne suffisent pas à rendre vraisemblable l'existence d'un vice du consentement, et, plus généralement, les moyens libératoires du recourant. Ceux-ci pourront être invoqués, cas échéant, dans le cadre d'une action en libération de dette introduite par le recourant, au cours de laquelle d'autres moyens de preuve, à l'instar de témoignages, pourront être administrés. III. Cela étant, dans son prononcé motivé rectificatif, le juge de paix a prononcé la mainlevée pour un montant total de 808 fr. avec intérêt à 5 % l'an dès le 31 janvier 2010, correspondant à l'arriéré des cotisations syndicales dues à partir du mois de novembre 2007 jusqu'au 31 décembre 2009. Or, la poursuite ne portant que sur la somme de 792 fr. 60 avec intérêt à 5 % l'an dès le 31 janvier 2010, le premier juge a statué ultra petita , soit au-delà de ce qui était réclamé dans le commandement de payer, ce qui n'est pas admissible. Le recours doit ainsi être partiellement admis et le prononcé entrepris réformé, en ce sens que la mainlevée provisoire est accordée à concurrence de 792 fr. 60 plus intérêt à 5 % l'an dès le 31 janvier 2010. Comme le recourant succombe pour l'essentiel, son recours n'étant que très partiellement admis, les frais judiciaires de deuxième instance, arrêtés à 180 fr., doivent être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