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305 vom 20. Dezember 2011</w:t>
      </w:r>
    </w:p>
    <w:p>
      <w:r>
        <w:t>VD Tribunal cantonal, 2011-12-20, FR</w:t>
      </w:r>
    </w:p>
    <w:p>
      <w:r>
        <w:rPr>
          <w:b/>
        </w:rPr>
        <w:t xml:space="preserve">Quelle: </w:t>
      </w:r>
      <w:r>
        <w:t>https://mcp.opencaselaw.ch/entscheid/vd_findinfo_ML___2011___305</w:t>
      </w:r>
    </w:p>
    <w:p>
      <w:r>
        <w:t>FR: VD_FINDINFO ML / 2011 / 305 du 20 décembre 2011</w:t>
      </w:r>
    </w:p>
    <w:p>
      <w:r>
        <w:t>IT: VD_FINDINFO ML / 2011 / 305 del 20 dicembre 2011</w:t>
      </w:r>
    </w:p>
    <w:p>
      <w:pPr>
        <w:pStyle w:val="Heading2"/>
      </w:pPr>
      <w:r>
        <w:t>Regeste</w:t>
      </w:r>
    </w:p>
    <w:p>
      <w:r>
        <w:t>MAINLEVÉE PROVISOIRE, ACTE DE DÉFAUT DE BIENS | 82 al. 2 LP, 321 al. 2 CPC (CH), 405 al. 1 CPC (CH)</w:t>
      </w:r>
    </w:p>
    <w:p>
      <w:pPr>
        <w:pStyle w:val="Heading2"/>
      </w:pPr>
      <w:r>
        <w:t>Erwägungen</w:t>
      </w:r>
    </w:p>
    <w:p>
      <w:r>
        <w:rPr>
          <w:b/>
        </w:rPr>
        <w:t>E. 15</w:t>
      </w:r>
    </w:p>
    <w:p>
      <w:r>
        <w:t>ad art. 265 LP). En l’occurrence, l’acte de défaut de biens après faillite du 5 mai 1998 mentionne que la créance avait été admise par le failli. Il vaut donc titre à la mainlevée provisoire, comme l’a vu à juste titre le premier juge. De même, c’est à juste titre que le premier juge a considéré que la mainlevée pouvait être accordée en faveur de la poursuivante, qui avait établi par pièce la cession de la créance reconnue par le poursuivi (Panchaud/Caprez, op. cit., § 18). b) En vertu de l’art. 82 al. 2 LP, le juge prononce la mainlevée provisoire de l’opposition, à moins que le débiteur ne rende vraisemblable sa libération. La vraisemblance du moyen libératoire suffit à mettre en échec la requête de mainlevée provisoire (Gilliéron, op. cit., n. 82 ad art. 82 LP). Cela signifie que les faits pertinents doivent simplement être vraisemblables : le juge n’a pas à être persuadé de l’existence des faits; il suffit que, sur la base d’éléments objectifs, il acquière l’impression d’une certaine vraisemblance de l’existence des faits pertinents, sans pour autant qu’il doive exclure la possibilité que les faits aient pu se dérouler autrement (ATF 132 III 140 c. 4.1.2, rés. in JT 2006 II 187; CPF, 25 novembre 2010/452 et les références citées). Le poursuivi prétend que, postérieurement à la délivrance de cet acte de défaut de biens, la somme de 45'263 fr. 45 aurait été versée au cédant, s’appuyant sur la décision du Juge d’instruction pénale du Bas-Valais du 31 mai 1999 qui mentionne que le titulaire de l’acte de défaut de biens aurait été crédité de ce montant ultérieurement aux démarches entreprises. Le premier juge a considéré que le poursuivi n’établissait pas que ce paiement concernait la créance constatée ; cependant, le degré de la preuve requis en l’occurrence n’est pas celui d’une preuve stricte, mais celui de la simple vraisemblance. Il a aussi estimé qu’il était peu probable que le poursuivi n’ait pas exigé une quittance ou la remise de l’acte de défaut de biens. Mais comme l’observe de manière pertinente le recourant, ce paiement peut parfaitement provenir d’un tiers et le poursuivi n’est ainsi pas forcément détenteur d’une quittance. Sous l’angle de la simple vraisemblance, il est probable que ce versement soit en lien avec le prêt de 50'000 DM et peu probable qu’il ne concerne que le paiement de travaux techniques que le juge d’instruction pénale avait qualifiés de ponctuels. Cela importe toutefois peu, contrairement à l’opinion du premier juge, car, sur la base des pièces produites en première instance, la cause de la créance du cédant, admise à l’état de collocation dans la faillite du poursuivi, demeure inconnue. Le poursuivi a ainsi rendu vraisemblable sa libération. En revanche, cette libération n’est que partielle et ne peut conduire, comme le conclut le recourant, au rejet total de la mainlevée. Le premier juge aurait donc dû n’admettre que partiellement la requête de mainlevée de l’opposition, à concurrence de 8'744 fr. 20. III. Au vu de ce qui précède, le recours doit être admis partiellement et le prononcé réformé en ce sens que l’opposition formée par Z.________ est levée à concurrence de 8'744 fr. 20, les frais judiciaires de première instance de la poursuivante sont fixés à 480 fr. et le poursuivi lui versera 120 fr., à titre de dépens de première instance. Les frais judiciaires de deuxième instance sont fixés à 630 francs. L’intimée ayant succombé, elle en supporte une partie à raison de 504 fr., ainsi que des dépens réduits alloués au recourant, par 800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