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304 vom 14. Dezember 2011</w:t>
      </w:r>
    </w:p>
    <w:p>
      <w:r>
        <w:t>VD Tribunal cantonal, 2011-12-14, FR</w:t>
      </w:r>
    </w:p>
    <w:p>
      <w:r>
        <w:rPr>
          <w:b/>
        </w:rPr>
        <w:t xml:space="preserve">Quelle: </w:t>
      </w:r>
      <w:r>
        <w:t>https://mcp.opencaselaw.ch/entscheid/vd_findinfo_ML___2011___304</w:t>
      </w:r>
    </w:p>
    <w:p>
      <w:r>
        <w:t>FR: VD_FINDINFO ML / 2011 / 304 du 14 décembre 2011</w:t>
      </w:r>
    </w:p>
    <w:p>
      <w:r>
        <w:t>IT: VD_FINDINFO ML / 2011 / 304 del 14 dicembre 2011</w:t>
      </w:r>
    </w:p>
    <w:p>
      <w:pPr>
        <w:pStyle w:val="Heading2"/>
      </w:pPr>
      <w:r>
        <w:t>Regeste</w:t>
      </w:r>
    </w:p>
    <w:p>
      <w:r>
        <w:t>MAINLEVÉE DÉFINITIVE | 80 al. 2 LP, 319 CPC (CH), 405 al. 1 CPC (CH)</w:t>
      </w:r>
    </w:p>
    <w:p>
      <w:pPr>
        <w:pStyle w:val="Heading2"/>
      </w:pPr>
      <w:r>
        <w:t>Erwägungen</w:t>
      </w:r>
    </w:p>
    <w:p>
      <w:r>
        <w:rPr>
          <w:b/>
        </w:rPr>
        <w:t>E. 2</w:t>
      </w:r>
    </w:p>
    <w:p>
      <w:r>
        <w:t>LP) (Jeandin, op. cit., n. 4 in fine ad art. 326 CPC). En revanche, il n’y a pas de norme dérogatoire prévue pour une décision prononçant la mainlevée de l’opposition et il ne peut y avoir de nova dans la procédure de recours (Staehelin, Basler Kommentar, n. 90 ad art. 84 LP). II. a) Selon l’art. 80 LP, le créancier au bénéfice d’un jugement exécutoire peut requérir du juge la mainlevée définitive de l’opposition. Sont assimilées aux jugements exécutoires, notamment, les décisions des autorités administratives suisses (art. 80 al. 2 ch. 2 LP).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et les références citées; Staehelin, op. cit., n. 120 ad art. 80 LP; Panchaud/Caprez, La mainlevée de l’opposition, § 122). b)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Selon un auteur (Rigot, op. cit., pp. 154-155), dont la cour de céans a fait sienne l'opinion (cf. CPF,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relativement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c) Sur cette base, jusqu’à l’année dernière, la cour de céans a jugé que la mainlevée définitive de l’opposition devait être rejetée lorsque le poursuivant n’apportait pas la preuve de cette notification, la seule mention que la décision avait été adressée sous pli recommandé et la production de rappels envoyés sous plis simples ne suffisant pas à prouver que ces actes avaient été reçus par le poursuivi quand celui-ci ne procède pas et n’admet ainsi pas, même implicitement, les avoir réceptionnés (CPF, 29 avril 2010/191; CPF, 4 février 2010/60). Cependant, à la fin de l’année dernière, par une décision prise à cinq juges, la cour de céans est revenue sur cette jurisprudence et a considéré que le poursuivi qui non seulement ne conteste pas lors de l’audience de mainlevée avoir reçu la décision, mais fait défaut à celle-ci, admet implicitement avoir reçu la décision à l’origine de la poursuite (JT 2011 III 58). Compte tenu du fait que cette décision a été considérée comme un arrêt de principe et qu’il serait contraire au principe de la sécurité du droit et à l’égalité de traitement des justiciables, garanti par l’art. 8 Cst., d’adopter une position contraire selon la composition de la cour, la cour de céans s’en tiendra à cette jurisprudence, confirmée notamment par un arrêt du 25 novembre 2010 (CPF, 25 novembre 2010/462) et un arrêt du 26 août 2011 (CPF, 26 août 2011/353). d) En l’espèce, les poursuivants ont produit devant le premier juge deux décisions fiscales, attestées entrées en force, car n’ayant fait l’objet ni de réclamation ni de recours. En ne procédant pas devant le premier juge, alors que la requête de mainlevée mentionnait expressément que ces décisions étaient entrées en force et étaient exécutoires, le poursuivi a implicitement admis les avoir reçues, conformément à la jurisprudence la plus récente. Dans son recours, il soutient certes n’avoir pas reçu ces décisions, en particulier la décision de taxation; mais, ce faisant, il tente d’introduire un fait nouveau, ce qui n’est pas admissible au regard de l’art. 326 CPC. Sur la base des faits et des pièces produites en première instance, la décision du premier juge était ainsi justifiée. III. Le recours doit ainsi être rejeté et le prononcé confirmé. Le recourant n’ayant obtenu le bénéfice de l’assistance judiciaire que pour l’avance des frais judiciaires de deuxième instance, ceux-ci, arrêtés à 135 fr., sont mis à sa charge. Conformément à l’art. 123 al. 1 CPC, une partie est tenue de rembourser l’assistance judiciaire dès qu’elle est en mesure de le faire. Dans cette mesure, la partie est tenue au remboursement des frais judiciaires et de l’indemnité de son conseil d’office mis à la charge de l’Etat. Il n’y a pas lieu d’allouer de dépens aux intimés, qui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