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297 vom 6. Dezember 2011</w:t>
      </w:r>
    </w:p>
    <w:p>
      <w:r>
        <w:t>VD Tribunal cantonal, 2011-12-06, FR</w:t>
      </w:r>
    </w:p>
    <w:p>
      <w:r>
        <w:rPr>
          <w:b/>
        </w:rPr>
        <w:t xml:space="preserve">Quelle: </w:t>
      </w:r>
      <w:r>
        <w:t>https://mcp.opencaselaw.ch/entscheid/vd_findinfo_ML___2011___297</w:t>
      </w:r>
    </w:p>
    <w:p>
      <w:r>
        <w:t>FR: VD_FINDINFO ML / 2011 / 297 du 6 décembre 2011</w:t>
      </w:r>
    </w:p>
    <w:p>
      <w:r>
        <w:t>IT: VD_FINDINFO ML / 2011 / 297 del 6 dicembre 2011</w:t>
      </w:r>
    </w:p>
    <w:p>
      <w:pPr>
        <w:pStyle w:val="Heading2"/>
      </w:pPr>
      <w:r>
        <w:t>Regeste</w:t>
      </w:r>
    </w:p>
    <w:p>
      <w:r>
        <w:t>MAINLEVÉE PROVISOIRE, VENTE, ACTION{PAPIER-VALEUR}, TRANSFERT DES ACTIONS, EXCEPTION D'INEXÉCUTION | 82 LP</w:t>
      </w:r>
    </w:p>
    <w:p>
      <w:pPr>
        <w:pStyle w:val="Heading2"/>
      </w:pPr>
      <w:r>
        <w:t>Erwägungen</w:t>
      </w:r>
    </w:p>
    <w:p>
      <w:r>
        <w:rPr>
          <w:b/>
        </w:rPr>
        <w:t>E. 21</w:t>
      </w:r>
    </w:p>
    <w:p>
      <w:r>
        <w:t>février 2011, de sorte que la présente procédure de recours est soumise au nouveau droit de procédure, entré en vigueur le 1 er janvier 2011 (art. 405 al. 1 CPC; ATF 137 III 127, JT 2011 II 226 ; Tappy, Code de procédure civile commenté, n. 10 ad art. 405 CPC). Le recours a été formé en temps utile, dans le délai de dix jours de l’art. 321 al. 2 CPC. Il est écrit et motivé et contient des conclusions principales en réforme et subsidiaires en nullité. Il est ainsi recevable à la forme (art. 321 al. 1 CPC).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(Gilliéron, op. cit., n. 44 ad art. 82 LP). Le contrat de vente ordinaire constitue une reconnaissance de dette pour le prix de vente échu, pour autant que le vendeur ait livré la chose vendue ou l'ait consignée. Lorsque le vendeur s'est engagé à livrer la chose mobilière vendue avant paiement, la livraison, qui doit être établie par titre, est une condition de la mainlevée; il en va de même du refus d'accepter la livraison (Gilliéron, op. cit., n. 46 ad art. 82 LP ; Krauskopf, La mainlevée provisoire : quelques jurisprudences récentes, in JT 2008 II 23 ss, pp. 31-32). Le contrat de prêt constitue aussi une reconnaissance de dette dans la poursuite du prêteur en remboursement de la somme prêtée et en paiement des intérêts convenus (Panchaud/Caprez, op. cit., § 77). En procédure de mainlevée, le juge statue sommairement sur la base des pièces qui lui sont soumises et des déclarations des parties (Gilliéron, op. cit., n. 98 ad art. 82 LP). En présence d'une reconnaissance de dette dont le sens littéral est clair, le juge doit l'interpréter (art. 18 CO) dans ce sens-là et n'a pas à se demander si les parties ne l'entendaient pas dans un sens différent, à moins de circonstances particulières résultant du dossier (Panchaud/Caprez, op. cit., § 1, n. 12). b) En l’espèce, l’intimée, le recourant et la société D.________ ont conclu un contrat de vente d’actions ainsi qu’un contrat de prêt destiné à préciser les modalités du paiement des actions vendues et le transfert de celles-ci. La réunion de ces deux conventions démontre clairement la volonté des parties et de la société D.________ de procéder à une vente d’actions et de régler les modalités du paiement, une partie du prix devant être payée par une reprise de dette et l’autre par des paiements échelonnés, dont le montant et les échéances sont clairement définis. L’ensemble des deux conventions vaut reconnaissance de dette au sens de l’art. 82 LP. III.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 cit. ; CPF, 21 janvier 2010/28). b) Le recourant soulève en deuxième instance l’exception d’inexécution de l’art. 82 CO. Il fait valoir qu’il a payé à ce jour 247'000 fr. (reprise de dette prévue à l'art. 2 du contrat de prêt) ainsi que treize mensualités de 7'000 fr. jusqu’en avril 2009, représentant 91'000 fr., et que l’intimée ne lui a remis aucune des actions de la société, en violation de l’art. 4 du contrat de prêt. Le poursuivi peut opposer, à titre de moyen libératoire, l 'exceptio non adimpleti contractus en procédure sommaire de mainlevée, à condition de la rendre vraisemblable ( Gilliéron, op. cit., n. 81 ad art. 82). Il revient alors au poursuivant de prouver qu’il a exécuté sa prestation (Peter, Edition annotée de la LP, ad art. 82, p. 389). L’art. 82 CO prévoit que celui qui poursuit l’exécution d’un contrat bilatéral doit avoir exécuté ou offrir d’exécuter sa propre obligation, à moins qu’il ne soit au bénéfice d’un terme d’après les clauses ou la nature du contrat. Cette exception est applicable aux contrats bilatéraux, en particulier au contrat de vente. Elle permet au débiteur de refuser d’exécuter sa prestation jusqu’à ce que le créancier ait exécuté ou offert d’exécuter la sienne (Hohl, Commentaire Romand, nn. 3 et 5 ad art. 82 CO). Selon la jurisprudence, l’art. 82 CO vise directement les prestations d’un seul et même contrat synallagmatique promises l’une en échange de l’autre, soit celles qui dépendent l’une de l’autre pour leur naissance et leur exécution (ATF 116 III 70, cons. 3 b ; Hohl, op. cit., n. 5 ad art. 82 CO). Les prestations doivent toutes deux être exigibles (Hohl, op. cit., n. 7 ad art. 82 CO). En l’espèce, le contrat de vente d’action stipule à son art. 4 que le transfert des actions a lieu par simple tradition du titre. Quant à l’art. 4 du contrat de prêt, il prévoit qu’en garantie du solde du prêt, les actions impayées restent en mains du prêteur et que celui-ci remettra à l’emprunteur, annuellement, début janvier, le nombre d’actions payées durant l’année précédente. L’al. 2 du même article dispose en outre que « les actions, d’entente entre les parties, seront déposées auprès de Monsieur S.________, qui sera chargé d’en attester annuellement la détention, ainsi que la restitution conforme au décompte de paiement ». L'intimée déduit de l’art. 4 du contrat de prêt qu’elle avait pour seule obligation contractuelle de transférer les actions à S.________ qui dès lors en devenait le possesseur immédiat et dérivé, pour le compte du recourant devenu propriétaire des actions. Elle soutient avoir transféré les actions au prénommé, à l’égard duquel le recourant aurait une créance en délivrance des actions payées. Même si l'intimée a transféré les actions à S.________, cela ne lui permet pas d’établir qu'elle a exécuté sa prestation. Il résulte en effet sans ambiguïté de l’art. 4 al. 1 du contrat de prêt que c'est au prêteur – soit à l'intimée – qu'il incombe de remettre à l'emprunteur les actions payées. La seule question qui se pose en définitive est celle de savoir si les prestations litigieuses – transfert à l’acheteur des actions payées et paiement des mensualités suivantes – sont dans un rapport d’échange. Il suffit au recourant de rendre vraisemblable que tel est le cas. Cette exigence est respectée en l'espèce, dans la mesure où, dans le contrat de vente, le transfert de la chose vendue et le paiement du prix sont dans un rapport d’échange. Le vendeur n’est autorisé à conserver en garantie que les actions correspondant aux montants impayés. Il s’est engagé à transférer les actions au porteur au fur et à mesure de leur paiement, mais il n’établit pas avoir satisfait à cette obligation. Le recourant rend dès lors vraisemblable qu’il est fondé à s’opposer au paiement des mensualités convenues aussi longtemps qu’il n’est pas en possession des actions correspondant aux montants déjà payés. III. Le recours doit donc être admis et le prononcé réformé en ce sens que l'opposition formée par H.________ au commandement de payer n° 5'626'531 de l'Office des poursuites du district de Lavaux-Oron, notifié à la réquisition de G.________ Inc., est maintenue. Les frais de première instance de la poursuivante sont arrêtés à 360 francs. Celle-ci doit verser au poursuivi H.________ la somme de 400 fr. à titre de dépens de première instance. Les frais de deuxième instance, arrêtés à 630 fr., sont mis à la charge de l'intimée, qui doit verser au recourant la somme de 1'230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