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293 vom 16. November 2011</w:t>
      </w:r>
    </w:p>
    <w:p>
      <w:r>
        <w:t>VD Tribunal cantonal, 2011-11-16, FR</w:t>
      </w:r>
    </w:p>
    <w:p>
      <w:r>
        <w:rPr>
          <w:b/>
        </w:rPr>
        <w:t xml:space="preserve">Quelle: </w:t>
      </w:r>
      <w:r>
        <w:t>https://mcp.opencaselaw.ch/entscheid/vd_findinfo_ML___2011___293</w:t>
      </w:r>
    </w:p>
    <w:p>
      <w:r>
        <w:t>FR: VD_FINDINFO ML / 2011 / 293 du 16 novembre 2011</w:t>
      </w:r>
    </w:p>
    <w:p>
      <w:r>
        <w:t>IT: VD_FINDINFO ML / 2011 / 293 del 16 novembre 2011</w:t>
      </w:r>
    </w:p>
    <w:p>
      <w:pPr>
        <w:pStyle w:val="Heading2"/>
      </w:pPr>
      <w:r>
        <w:t>Regeste</w:t>
      </w:r>
    </w:p>
    <w:p>
      <w:r>
        <w:t>MASSE EN FAILLITE, REPRÉSENTATION EN PROCÉDURE, OFFICE DES FAILLITES, AUTORISATION OU APPROBATION{EN GÉNÉRAL} | 82 LP</w:t>
      </w:r>
    </w:p>
    <w:p>
      <w:pPr>
        <w:pStyle w:val="Heading2"/>
      </w:pPr>
      <w:r>
        <w:t>Erwägungen</w:t>
      </w:r>
    </w:p>
    <w:p>
      <w:r>
        <w:rPr>
          <w:b/>
        </w:rPr>
        <w:t>E. 3</w:t>
      </w:r>
    </w:p>
    <w:p>
      <w:r>
        <w:t>CPC). Un recours peut dès lors être formé contre la décision en cause (art. 319 al. 1 let. a CPC). La décision du 29 mars 2011 a été reçue par la recourante au plus tôt le lendemain. Le délai de recours de 10 jours, arrivé à échéance le samedi 9 avril 2011, était reporté au premier jour utile, soit au lundi 11 avril 2011. L'acte de recours est daté de ce jour et porte la mention "recommandé". Reçu au greffe le 12 avril 2011, on peut admettre qu'il a été remis à un bureau de poste suisse dans le délai. Il est écrit et motivé, de sorte qu'il est recevable formellement (art. 321 al. 1 CPC). En revanche, la pièce produite avec le recours qui ne figure pas au dossier de première instance est irrecevable, l'art. 326 CPC prohibant les preuves nouvelles. II. a) Aux termes de l'art. 206 al. 1 LP, les poursuites dirigées "contre le failli" s'éteignent. Cette disposition ne s'applique manifestement pas en l'espèce, la faillie étant la partie poursuivante dans le cadre de la procédure de mainlevée litigieuse. b) T.________ SA a requis la mainlevée de l'opposition le 28 février 2011, alors que sa faillite avait été prononcée le 17 février 2011. La question est de savoir si T.________ SA pouvait valablement agir en mainlevée par l'intermédiaire de ses organes après l'ouverture de sa faillite. L'ouverture de la faillite ne fait pas perdre à la société sa personnalité juridique. Conformément à l'art. 736 ch. 3 CO, la société est dissoute par le prononcé de sa faillite. Elle entre, partant, en liquidation (art. 738 CO). Pendant la liquidation, les pouvoirs des organes sociaux sont restreints aux actes qui sont nécessaires à cette opération et qui, de par leur nature, ne sont point du ressort des liquidateurs (art. 739 al. 2 CO). En cas de faillite, la liquidation se fait par l’administration de la masse, en conformité des règles de la faillite. Les organes de la société ne conservent le pouvoir de la représenter que dans la mesure où leur intervention est encore nécessaire (art. 740 al. 5 CO). Dès lors que l'administration de la faillite doit encaisser les créances liquides de la masse, au besoin par voie de poursuite (art. 243 al. 1 LP) et que l'art. 240 LP précise que l'administration est chargée des intérêts de la masse, pourvoit à sa liquidation et représente la masse en justice, ces attributions ne peuvent plus, dès l'ouverture de la faillite, être exercées par la société faillie, respectivement ses organes. Il s'ensuit que ces derniers n'avaient pas le pouvoir d'agir en mainlevée de l'opposition pour T.________ SA, respectivement la masse en faillite de cette société. Cela ne conduit cependant pas nécessairement à la radiation du rôle de la cause. Informé de la faillite de la société requérante et constatant que la requête avait été déposée postérieurement au prononcé de la faillite, le juge de paix devait certes conclure que la personne agissant au nom de T.________ SA n'avait pas de pouvoirs de représentation. Il n'en demeure pas moins que cet organe avait la volonté d'agir au nom de la société, même s'il ne disposait plus de pouvoirs pour ce faire. Or, la ratification de l'acte de procédure effectué par un représentant sans pouvoir n'est pas exclue ( Bohnet, in Bohnet/Haldy/Jeandin/Schweizer/Tappy, Code de procédure civile commenté, n. 31 ad art. 68 CPC ; Affentranger, Schweizerische Zivilprozessordunug, n. 11 ad art. 68). L'office des faillites administrant la masse a indiqué dans sa correspondance du 24 mars 2011 qu'il entendait « se subroger au droits de la requérante », en d'autres termes, qu'il entendait reprendre sa place en procédure. Cela suffisait pour considérer que l'office avait ratifié les actes effectués sans pouvoirs de représentation. Au demeurant, si l'on devait admettre que cette déclaration ne suffisait pas, il incombait au juge de paix d'impartir à l'administration de la faillite un délai pour produire une procuration en bonne et due forme en application de l'art. 132 CPC. Il résulte de ce qui précède que la décision du 29 mars 2011 doit être annulée et la cause renvoyée au juge de paix afin qu'il convoque les parties à une audience.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