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292 vom 5. Dezember 2011</w:t>
      </w:r>
    </w:p>
    <w:p>
      <w:r>
        <w:t>VD Tribunal cantonal, 2011-12-05, FR</w:t>
      </w:r>
    </w:p>
    <w:p>
      <w:r>
        <w:rPr>
          <w:b/>
        </w:rPr>
        <w:t xml:space="preserve">Quelle: </w:t>
      </w:r>
      <w:r>
        <w:t>https://mcp.opencaselaw.ch/entscheid/vd_findinfo_ML___2011___292</w:t>
      </w:r>
    </w:p>
    <w:p>
      <w:r>
        <w:t>FR: VD_FINDINFO ML / 2011 / 292 du 5 décembre 2011</w:t>
      </w:r>
    </w:p>
    <w:p>
      <w:r>
        <w:t>IT: VD_FINDINFO ML / 2011 / 292 del 5 dicembre 2011</w:t>
      </w:r>
    </w:p>
    <w:p>
      <w:pPr>
        <w:pStyle w:val="Heading2"/>
      </w:pPr>
      <w:r>
        <w:t>Regeste</w:t>
      </w:r>
    </w:p>
    <w:p>
      <w:r>
        <w:t>MOTIF DU RECOURS, DÉCISION D'IRRECEVABILITÉ, OBLIGATION DE CHIFFRER LES CONCLUSIONS | 321 al. 1 CPC (CH)</w:t>
      </w:r>
    </w:p>
    <w:p>
      <w:pPr>
        <w:pStyle w:val="Heading2"/>
      </w:pPr>
      <w:r>
        <w:t>Volltext</w:t>
      </w:r>
    </w:p>
    <w:p>
      <w:r>
        <w:t>Vaud Tribunal cantonal Cour des poursuites et faillites 05.12.2011 ML / 2011 / 292</w:t>
      </w:r>
    </w:p>
    <w:p>
      <w:r>
        <w:t>MOTIF DU RECOURS, DÉCISION D'IRRECEVABILITÉ, OBLIGATION DE CHIFFRER LES CONCLUSIONS | 321 al. 1 CPC (CH)</w:t>
      </w:r>
    </w:p>
    <w:p>
      <w:r>
        <w:t>TRIBUNAL CANTONAL KC11.019610 512 Cour des poursuites et faillites ________________________________________________ Arrêt du 5 décembre 2011 __________________ Présidence de               M. Hack , président Juges :              M. Muller et Mme Rouleau Greffier : Mme              Joye ***** Art. 321 al. 1 CPC Vu le prononcé de mainlevée rendu le 12 juillet 2011, à la suite de l'audience du même jour, par le Juge de paix du district de l'Ouest lausannois, dans la poursuite n° 5'750'338 de l'Office des poursuites du district de l'Ouest lausannois exercée contre A.I.________ , à Renens , à l'instance de B.I.________ , à Bussigny-près-Lausanne, vu le prononcé motivé adressé pour notification aux parties le 24 août 2011, vu l'acte de recours adressé au juge de paix par A.I.________ le 2 septembre 2011, vu la transmission du dossier par le juge de paix à la cour de céans, autorité de recours, le 12 septembre 2011, vu le courrier adressé le 16 septembre 2011 par le recourant au juge de paix, également transmis à la cour de céans ; attendu que, selon l'art. 321 al. 1 CPC (Code de procédure civile du 19 décembre 2008; RS 272), le recours s'exerce par le dépôt d'un acte écrit et motivé, introduit auprès de l'instance de recours, que, toutefois, le principe selon lequel est réputé observé un délai si le mémoire a été adressé à l'autorité précédente doit être également appliqué dans la procédure de recours régie par le CPC (Tappy, Les voies de droit du nouveau Code de procédure civile, in JT 2010 III 115, spéc. p. 131), que le délai pour recourir est de dix jours dès la réception de la décision motivée (art. 321 al. 2 CPC), qu'en conséquence, la déclaration de recours adressée au Juge de paix du district de l'Ouest lausannois par A.I.________ le 2 septembre 2011, contre le prononcé qu'il avait reçu le 26 août 2011, a été déposée en temps utile, qu'en revanche, elle n'est pas motivée, c'est-à-dire qu'elle ne comporte l'indication d'aucun moyen ou grief contre la décision de mainlevée, que la motivation de l'acte, soit l'indication des motifs de recours au sens de l'art. 320 CPC, est une condition de recevabilité du recours,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(Jeandin, CPC commenté, n. 5 ad art. 311 CPC et n. 6 ad art. 321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l'acte de recours du 2 septembre 2011, faute d'être motivé, ne satisfait donc pas aux exigences de forme posées par la loi, vice qui n'est pas réparable (cf. par analogie : TF 5P.429/2006 du 11 décembre 2006), que le courrier du 16 septembre 2011 contient certes une motivation mais est tardif, ayant été posté après l'échéance du délai de recours, que le recours est par conséquent irrecevable ;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5 décembre 2011 L'arrêt qui précède, dont la rédaction a été approuvée à huis clos, prend date de ce jour. Il est notifié, par l'envoi de photocopies, à : ‑ M. A.I.________, ‑ Me Antoine Eigenmann, avocat (pour B.I.________). La Cour des poursuites et faillites considère que la valeur litigieuse est de 20'067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