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283 vom 11. November 2011</w:t>
      </w:r>
    </w:p>
    <w:p>
      <w:r>
        <w:t>VD Tribunal cantonal, 2011-11-11, FR</w:t>
      </w:r>
    </w:p>
    <w:p>
      <w:r>
        <w:rPr>
          <w:b/>
        </w:rPr>
        <w:t xml:space="preserve">Quelle: </w:t>
      </w:r>
      <w:r>
        <w:t>https://mcp.opencaselaw.ch/entscheid/vd_findinfo_ML___2011___283</w:t>
      </w:r>
    </w:p>
    <w:p>
      <w:r>
        <w:t>FR: VD_FINDINFO ML / 2011 / 283 du 11 novembre 2011</w:t>
      </w:r>
    </w:p>
    <w:p>
      <w:r>
        <w:t>IT: VD_FINDINFO ML / 2011 / 283 del 11 novembre 2011</w:t>
      </w:r>
    </w:p>
    <w:p>
      <w:pPr>
        <w:pStyle w:val="Heading2"/>
      </w:pPr>
      <w:r>
        <w:t>Regeste</w:t>
      </w:r>
    </w:p>
    <w:p>
      <w:r>
        <w:t>RESTITUTION DU DÉLAI, MOYEN DE DROIT, DÉCISION D'IRRECEVABILITÉ | 149 CPC (CH)</w:t>
      </w:r>
    </w:p>
    <w:p>
      <w:pPr>
        <w:pStyle w:val="Heading2"/>
      </w:pPr>
      <w:r>
        <w:t>Volltext</w:t>
      </w:r>
    </w:p>
    <w:p>
      <w:r>
        <w:t>Vaud Tribunal cantonal Cour des poursuites et faillites 11.11.2011 ML / 2011 / 283</w:t>
      </w:r>
    </w:p>
    <w:p>
      <w:r>
        <w:t>RESTITUTION DU DÉLAI, MOYEN DE DROIT, DÉCISION D'IRRECEVABILITÉ | 149 CPC (CH)</w:t>
      </w:r>
    </w:p>
    <w:p>
      <w:r>
        <w:t>TRIBUNAL CANTONAL KC11.018434-112021 491 Cour des poursuites et faillites ________________________________________________ Arrêt du 11 novembre 2011 ______________________ Présidence de               M. Hack , président Juges :              M. Sauterel et Mme Rouleau Greffier : Mme              Debétaz Ponnaz ***** Art. 149 CPC Vu la décision rendue sous forme de lettre le 18 octobre 2011 par le Juge de paix du district de Lausanne, dans la poursuite n° 5'632'321 de l'Office des poursuites de Lausanne-Ouest exercée à l'instance de N.________SA , à Lausanne, contre V.________ , à Sion, se référant à la requête de restitution de délai déposée le 13 octobre 2011 par le poursuivi et constatant d'office que celui-ci n'a pas été valablement cité à comparaître à l'audience de mainlevée du 6 septembre 2011, le premier acte de procédure ne lui ayant pas été notifié, que le prononcé du 6, notifié aux parties le 13 septembre 2011 est nul et non avenu, que, partant, une nouvelle audience doit être fixée et ordonnant, dans l'intervalle et pour autant que de besoin, l'effet suspensif à la poursuite en cause, vu le recours formé par N.________SA contre cette décision qu'elle a reçue le 25 octobre 2011, par acte écrit et motivé remis à la poste le 2 novembre 2011 à l'adresse de la cour de céans, concluant, avec suite de frais, notamment à l'admission du recours, à l'annulation de la décision du premier juge et au rejet de la requête de restitution de délai déposée le 13 octobre 2011 par le poursuivi; attendu que, selon l'art. 149 CPC (Code de procédure civile; RS 272), en matière de restitution de délai, le tribunal statue définitivement, ce qui signifie que sa décision n’est pas susceptible de recours (Staehelin, ZPO-Kommentar, n. 4 ad art. 149 CPC), qu'en l'espèce, la décision attaquée indique de manière erronée qu'un recours au sens des art. 319 ss CPC peut être formé, que l'indication d'une voie de recours inexistante n'a cependant pas pour effet de créer cette voie, que, par conséquent, le recours déposé par N.________SA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novembre 2011 L'arrêt qui précède, dont la rédaction a été approuvée à huis clos, prend date de ce jour. Il est notifié, par l'envoi de photocopies, à : ‑ N.________SA, ‑ Me Jean-Yves Rebord, avocat (pour V.________). La Cour des poursuites et faillites considère que la valeur litigieuse est de 24'116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