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2011 / 271 vom 23. Juni 2011</w:t>
      </w:r>
    </w:p>
    <w:p>
      <w:r>
        <w:t>VD Tribunal cantonal, 2011-06-23, FR</w:t>
      </w:r>
    </w:p>
    <w:p>
      <w:r>
        <w:rPr>
          <w:b/>
        </w:rPr>
        <w:t xml:space="preserve">Quelle: </w:t>
      </w:r>
      <w:r>
        <w:t>https://mcp.opencaselaw.ch/entscheid/vd_findinfo_ML___2011___271</w:t>
      </w:r>
    </w:p>
    <w:p>
      <w:r>
        <w:t>FR: VD_FINDINFO ML / 2011 / 271 du 23 juin 2011</w:t>
      </w:r>
    </w:p>
    <w:p>
      <w:r>
        <w:t>IT: VD_FINDINFO ML / 2011 / 271 del 23 giugno 2011</w:t>
      </w:r>
    </w:p>
    <w:p>
      <w:pPr>
        <w:pStyle w:val="Heading2"/>
      </w:pPr>
      <w:r>
        <w:t>Regeste</w:t>
      </w:r>
    </w:p>
    <w:p>
      <w:r>
        <w:t>MAINLEVÉE PROVISOIRE, RETRAIT{VOIE DE DROIT}, VICE DU CONSENTEMENT, ERREUR ESSENTIELLE, RÉVOCATION{EN GÉNÉRAL} | 23 CO, 82 al. 1 LP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LP. d) En définitive, le retrait de l’opposition du recourant a été valablement formulé et celui-ci ne saurait invoquer un vice du consentement, les dispositions du CO y relatives étant inapplicables aux actes de poursuite. III. Mal fondé, le recours doit donc être rejeté et le prononcé confirmé. Les frais de deuxième instance du recourant sont arrêtés à 360 fr. et celui-ci doit verser aux intimés la somme de 375 fr. à titre de dépens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