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253 vom 2. November 2011</w:t>
      </w:r>
    </w:p>
    <w:p>
      <w:r>
        <w:t>VD Tribunal cantonal, 2011-11-02, FR</w:t>
      </w:r>
    </w:p>
    <w:p>
      <w:r>
        <w:rPr>
          <w:b/>
        </w:rPr>
        <w:t xml:space="preserve">Quelle: </w:t>
      </w:r>
      <w:r>
        <w:t>https://mcp.opencaselaw.ch/entscheid/vd_findinfo_ML___2011___253</w:t>
      </w:r>
    </w:p>
    <w:p>
      <w:r>
        <w:t>FR: VD_FINDINFO ML / 2011 / 253 du 2 novembre 2011</w:t>
      </w:r>
    </w:p>
    <w:p>
      <w:r>
        <w:t>IT: VD_FINDINFO ML / 2011 / 253 del 2 novembre 2011</w:t>
      </w:r>
    </w:p>
    <w:p>
      <w:pPr>
        <w:pStyle w:val="Heading2"/>
      </w:pPr>
      <w:r>
        <w:t>Regeste</w:t>
      </w:r>
    </w:p>
    <w:p>
      <w:r>
        <w:t>MOTIF DU RECOURS, CONDITION DE RECEVABILITÉ, ACTE DE RECOURS | 321 al. 1 CPC (CH)</w:t>
      </w:r>
    </w:p>
    <w:p>
      <w:pPr>
        <w:pStyle w:val="Heading2"/>
      </w:pPr>
      <w:r>
        <w:t>Volltext</w:t>
      </w:r>
    </w:p>
    <w:p>
      <w:r>
        <w:t>Vaud Tribunal cantonal Cour des poursuites et faillites 02.11.2011 ML / 2011 / 253</w:t>
      </w:r>
    </w:p>
    <w:p>
      <w:r>
        <w:t>MOTIF DU RECOURS, CONDITION DE RECEVABILITÉ, ACTE DE RECOURS | 321 al. 1 CPC (CH)</w:t>
      </w:r>
    </w:p>
    <w:p>
      <w:r>
        <w:t>TRIBUNAL CANTONAL 474 Cour des poursuites et faillites ________________________________________________ Arrêt du 2 novembre 2011 __________________ Présidence de               M. Hack , président Juges :              MM. Bosshard et Muller Greffier : Mme              Debétaz Ponnaz ***** Art. 321 al. 1 CPC Vu la décision rendue le 30 juin 2011, à la suite de l'audience du 16 juin 2011, par le Juge de paix du district de Lausanne, prononçant la mainlevée définitive, à concurrence de 92'635 fr. 95, plus intérêt au taux de 5 % l'an dès le 10 février 2011, de l'opposition formée par J.________ , à Monaco, à la poursuite n° 5'652'025 de l'Office des poursuites de Lausanne-Est exercée contre lui à l'instance de X.________ , à Monaco, et mettant les frais judiciaires, arrêtés à 660 fr., à la charge du poursuivi, ce dernier devant par conséquent rembourser cette somme au poursuivant qui en avait fait l'avance et lui verser en outre la somme de 5'000 fr. à titre de dépens, vu la déclaration de recours adressée au juge de paix par J.________ le 21 juillet 2011, contre ce prononcé qu'il avait reçu le 20 juillet 2011, vu le prononcé motivé adressé pour notification aux parties le 15 août 2011, vu la transmission du dossier par le juge de paix à la cour de céans, autorité de recours, le 6 septembre 2011;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conséquence, la déclaration de recours adressée au Juge de paix du district de Lausanne par J.________ le 21 juillet 2011, contre le prononcé qu'il avait reçu la veille sous forme de dispositif, a été déposée en temps utile, qu'en revanche, elle n'est pas motivée, c'est-à-dire qu'elle ne comporte l'indication d'aucun moyen ou grief contre la décision de mainlevée, que la motivation de l'acte, soit l'indication des motifs de recours au sens de l'art. 320 CPC, est une condition de recevabilité du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CPC commenté, n. 5 ad art. 311 CPC et n. 6 ad art. 321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21 juillet 2011, faute d'être motivé, ne satisfait donc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 novembre 2011 L'arrêt qui précède, dont la rédaction a été approuvée à huis clos, prend date de ce jour. Il est notifié, par l'envoi de photocopies, à : ‑ M. J.________, ‑ Me Félix Paschoud, avocat (pour X.________). La Cour des poursuites et faillites considère que la valeur litigieuse est de 92'635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