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248 vom 7. Juli 2011</w:t>
      </w:r>
    </w:p>
    <w:p>
      <w:r>
        <w:t>VD Tribunal cantonal, 2011-07-07, FR</w:t>
      </w:r>
    </w:p>
    <w:p>
      <w:r>
        <w:rPr>
          <w:b/>
        </w:rPr>
        <w:t xml:space="preserve">Quelle: </w:t>
      </w:r>
      <w:r>
        <w:t>https://mcp.opencaselaw.ch/entscheid/vd_findinfo_ML___2011___248</w:t>
      </w:r>
    </w:p>
    <w:p>
      <w:r>
        <w:t>FR: VD_FINDINFO ML / 2011 / 248 du 7 juillet 2011</w:t>
      </w:r>
    </w:p>
    <w:p>
      <w:r>
        <w:t>IT: VD_FINDINFO ML / 2011 / 248 del 7 luglio 2011</w:t>
      </w:r>
    </w:p>
    <w:p>
      <w:pPr>
        <w:pStyle w:val="Heading2"/>
      </w:pPr>
      <w:r>
        <w:t>Regeste</w:t>
      </w:r>
    </w:p>
    <w:p>
      <w:r>
        <w:t>MAINLEVÉE PROVISOIRE, TITRE DE MAINLEVÉE, VENTE, CONTRAT BILATÉRAL, SORTIE, SOCIÉTÉ ANONYME, SOLIDARITÉ PASSIVE, DEMEURE DU DÉBITEUR | 102 CO, 143 CO, 82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CO, ou à défaut constitue une interpellation au sens de l’art. 102 al. 1 CO. L’intérêt moratoire est donc dû dès le 2 juin 2009. III. Le recours doit ainsi être admis partiellement et la mainlevée provisoire de l'opposition à la poursuite en cause prononcée à concurrence de 180'000 fr., plus intérêt à 5 % l'an dès le 2 juin 2009, l'opposition étant maintenue pour le surplus. Les frais de première instance du poursuivant sont fixés à 660 fr. et le poursuivi doit lui verser la somme de 1'360 fr. à titre de dépens de première instance. Les frais de deuxième instance du recourant sont arrêtés à 900 fr. et l'intimé doit lui verser la somme de 1'800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