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233 vom 26. Oktober 2011</w:t>
      </w:r>
    </w:p>
    <w:p>
      <w:r>
        <w:t>VD Tribunal cantonal, 2011-10-26, FR</w:t>
      </w:r>
    </w:p>
    <w:p>
      <w:r>
        <w:rPr>
          <w:b/>
        </w:rPr>
        <w:t xml:space="preserve">Quelle: </w:t>
      </w:r>
      <w:r>
        <w:t>https://mcp.opencaselaw.ch/entscheid/vd_findinfo_ML___2011___233</w:t>
      </w:r>
    </w:p>
    <w:p>
      <w:r>
        <w:t>FR: VD_FINDINFO ML / 2011 / 233 du 26 octobre 2011</w:t>
      </w:r>
    </w:p>
    <w:p>
      <w:r>
        <w:t>IT: VD_FINDINFO ML / 2011 / 233 del 26 ottobre 2011</w:t>
      </w:r>
    </w:p>
    <w:p>
      <w:pPr>
        <w:pStyle w:val="Heading2"/>
      </w:pPr>
      <w:r>
        <w:t>Regeste</w:t>
      </w:r>
    </w:p>
    <w:p>
      <w:r>
        <w:t>DÉCOMPTE{SENS GÉNÉRAL}, CONTRAT DE TRAVAIL, SIGNATURE | 322 CPC, 82 LP</w:t>
      </w:r>
    </w:p>
    <w:p>
      <w:pPr>
        <w:pStyle w:val="Heading2"/>
      </w:pPr>
      <w:r>
        <w:t>Volltext</w:t>
      </w:r>
    </w:p>
    <w:p>
      <w:r>
        <w:t>Vaud Tribunal cantonal Cour des poursuites et faillites 26.10.2011 ML / 2011 / 233</w:t>
      </w:r>
    </w:p>
    <w:p>
      <w:r>
        <w:t>DÉCOMPTE{SENS GÉNÉRAL}, CONTRAT DE TRAVAIL, SIGNATURE | 322 CPC, 82 LP</w:t>
      </w:r>
    </w:p>
    <w:p>
      <w:r>
        <w:t>TRIBUNAL CANTONAL 456 Cour des poursuites et faillites ________________________________________________ Arrêt du 26 octobre 2011 __________________ Présidence de               M. H A C K, président Juges :              MM. Bosshard et Muller Greffier : Mme              Joye ***** Art. 82 LP Vu le prononcé rendu le 18 mars 2011 par le Juge de paix du district de Lausanne, à la suite de l'audience du 3 mars 2011, refusant de lever l'opposition formée par P.________ , à Lausanne, au commandement de payer la somme de 1'431 fr. 30 avec intérêt à 5 % l'an dès le 24 juillet 2010, qui lui a été notifié le 9 novembre 2010, dans la poursuite n° 5'587'364 de l'Office des poursuites de Lausanne-Est, introduite à la requête d' A.________ Sàrl , à Crissier, indiquant comme titre de la créance et cause de l'obligation un décompte du 24 juillet 2010, vu les motifs de cette décision adressés pour notification aux parties le 23 mai 2011, vu le recours, accompagné de pièces, déposé le 1 er juin 2011 par A.________ Sàrl, vu les pièces du dossier ;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Lausanne le 1 er juin 2011 contre le prononcé qui avait été notifié à la recourante le 24 mai 2011, a été déposé en temps utile, dans le délai de dix jours de l'art. 321 al. 2 CPC, qu'il est écrit et motivé, de sorte qu'il est recevable formellement (art. 321 al. 1 CPC), qu'en revanche, les pièces produites avec le recours qui ne figurent pas au dossier de première instance sont irrecevables, l'art. 326 CPC prohibant les preuves nouvelles ; attendu qu'à l'appui de sa requête de mainlevée, la poursuivante a produit, outre le commandement de payer, les pièces suivantes : - un "contrat de travail de conseiller en prévoyance" passé entre les parties le 15 juillet 2009, - deux bulletins de salaire, des mois de juin et juillet 2010, concernant l'employé P.________, présentant des soldes en faveur de l'employeur A.________ Sàrl respectivement de 906 fr. 75 et de 1'431 fr. 30, - un courrier intitulé "Dernier rappel (ristournes juin – juillet 2010)" qu'A.________ Sàrl a adressé au poursuivi le 4 octobre 2010, lui réclamant paiement d'un montant de 1'431 fr. 30 dans un délai de dix jours ; attendu que le premier juge a considéré que les pièces produites, même rapprochées, ne constituaient pas des titres de mainlevées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signée de l'intimé dont il ressortirait que celui-ci reconnaît lui devoir la somme réclamée, qu'en effet, ni les bulletins de salaire ni le courrier du 4 octobre 2010 – où figure le montant en poursuite – ne portent la signature du poursuivi, que le contrat de travail – seul document signé par P.________ – ne mentionne pas le montant en question, que la recourante n'est ainsi pas au bénéfice d'un titre de mainlevée provisoire, que dans ces circonstances, c'est à juste titre que le premier juge a refusé de prononcer la mainlevée, que le recours, manifestement infondé au sens de l'art. 322 al. 1 CPC, doit donc être rejeté et le prononcé attaqué confirmé, que les frais du présent arrêt, par 270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Le président :               La greffière : Du 26 octobre 2011 L'arrêt qui précède, dont la rédaction a été approuvée à huis clos, prend date de ce jour. Il est notifié, par l'envoi de photocopies, à : ‑ A.________ Sàrl, ‑ P.________. La Cour des poursuites et faillites considère que la valeur litigieuse est de 1'431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