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230 vom 7. Juli 2011</w:t>
      </w:r>
    </w:p>
    <w:p>
      <w:r>
        <w:t>VD Tribunal cantonal, 2011-07-07, FR</w:t>
      </w:r>
    </w:p>
    <w:p>
      <w:r>
        <w:rPr>
          <w:b/>
        </w:rPr>
        <w:t xml:space="preserve">Quelle: </w:t>
      </w:r>
      <w:r>
        <w:t>https://mcp.opencaselaw.ch/entscheid/vd_findinfo_ML___2011___230</w:t>
      </w:r>
    </w:p>
    <w:p>
      <w:r>
        <w:t>FR: VD_FINDINFO ML / 2011 / 230 du 7 juillet 2011</w:t>
      </w:r>
    </w:p>
    <w:p>
      <w:r>
        <w:t>IT: VD_FINDINFO ML / 2011 / 230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la poursuivie doit à la poursuivante des dépens de première instance limités au remboursement de ses frais de justice, soit 1'800 francs. Les frais de deuxième instance de la recourante sont arrêtés à 180 francs.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à la recourante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