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228 vom 27. September 2011</w:t>
      </w:r>
    </w:p>
    <w:p>
      <w:r>
        <w:t>VD Tribunal cantonal, 2011-09-27, FR</w:t>
      </w:r>
    </w:p>
    <w:p>
      <w:r>
        <w:rPr>
          <w:b/>
        </w:rPr>
        <w:t xml:space="preserve">Quelle: </w:t>
      </w:r>
      <w:r>
        <w:t>https://mcp.opencaselaw.ch/entscheid/vd_findinfo_ML___2011___228</w:t>
      </w:r>
    </w:p>
    <w:p>
      <w:r>
        <w:t>FR: VD_FINDINFO ML / 2011 / 228 du 27 septembre 2011</w:t>
      </w:r>
    </w:p>
    <w:p>
      <w:r>
        <w:t>IT: VD_FINDINFO ML / 2011 / 228 del 27 settembre 2011</w:t>
      </w:r>
    </w:p>
    <w:p>
      <w:pPr>
        <w:pStyle w:val="Heading2"/>
      </w:pPr>
      <w:r>
        <w:t>Regeste</w:t>
      </w:r>
    </w:p>
    <w:p>
      <w:r>
        <w:t>MAINLEVÉE PROVISOIRE, BAIL À LOYER, FORMULE OFFICIELLE, PRESTATION{SENS GÉNÉRAL}, LOGEMENT, PLACE DE PARC | 269d CO, 270 al. 2 CO, 82 LP</w:t>
      </w:r>
    </w:p>
    <w:p>
      <w:pPr>
        <w:pStyle w:val="Heading2"/>
      </w:pPr>
      <w:r>
        <w:t>Erwägungen</w:t>
      </w:r>
    </w:p>
    <w:p>
      <w:r>
        <w:rPr>
          <w:b/>
        </w:rPr>
        <w:t>E. 4</w:t>
      </w:r>
    </w:p>
    <w:p>
      <w:r>
        <w:t>ad art. 321 CPC).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 Gilliéron, Commentaire de la loi sur la poursuite pour dettes et la faillite, n. 29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 44 et 45 ad art. 82 LP). Le contrat signé de bail à loyer constitue une reconnaissance de dette pour le montant du loyer échu, pour autant que le bailleur ait mis l'objet du contrat à disposition du locataire (Panchaud/Caprez, op. cit., §§ 74 et 75 ; Gilliéron, op. cit., nn. 49 et 50 ad art. 82 LP).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1er août 2001, a rendu obligatoire la formule officielle au changement de locataire. Selon la jurisprudence, lorsque le bailleur ne fait pas usage, lors de la conclusion d’un bail, de la formule officielle prescrite par l’art. 269d CO, sa non-utilisation entraîne la nullité partielle du contrat de bail, sous l’angle de la fixation du montant du loyer (TF 4C.428/2004 du 1er avril 2005 c. 3.1 ; ATF 124 III 62 c. 2a, rés. in JT 1998 I 612 ; ATF 120 II 341 c. 5d, rés. in JT 1995 I 382 ; Lachat, Le bail à loyer, Lausanne 2008, p. 396 n. 2.4.5 ; Lachat, Commentaire romand, n. 11 ad art. 270a CO). Ainsi, le bail ne vaut pas, s'il n'est pas accompagné de la formule officielle lorsque l'usage de celle-ci est obligatoire, à lui seul, titre de mainlevée provisoire (Trümpy, La mainlevée d'opposition provisoire en droit du bail, Bulletin des poursuites et faillites 2010, p. 106 in fine et p. 107 et les réf. cit. ; Hack, Formalisme et durée : quelques développements récents en droit du bail, in JT 2007 II 4 ; CPF,</w:t>
      </w:r>
    </w:p>
    <w:p>
      <w:r>
        <w:rPr>
          <w:b/>
        </w:rPr>
        <w:t>E. 5</w:t>
      </w:r>
    </w:p>
    <w:p>
      <w:r>
        <w:t>février 2009/32 ; CPF, 18 septembre 2008/440 ; CPF, 29 juin 2006/314). b) En l'espèce, la poursuite concerne des loyers d'un appartement et d'une place de parc. Elle est fondée sur deux baux à loyer, du 9 juin 2005, et des avenants à ces baux, du 16 avril 2006. L'usage de la formule officielle mentionnée à l’art. 269d CO était obligatoire pour l'appartement. Or, il ne figure au dossier qu'une formule de notifica-tion du loyer initial, celle adressée à G.________ le 9 juin 2005, ancienne locataire. En l'absence d'une formule officielle concernant le recourant, le bail de l'appartement et son avenant ne sauraient constituer des titres de mainlevée à l'égard du poursuivi . En ce qui concerne le loyer de la place de parc, le bail et l'avenant produits sont signés par le poursuivi. Le poursuivant n'établit toutefois pas avoir mis l'objet du contrat à disposition du locataire. Certes, le recourant mentionne dans son écriture du 12 février 2011 que "la Justice de paix a procédé à son expulsion le 11 novembre 2009". On pourrait en conclure que l'intéressé admet implicitement avoir occupé les lieux jusqu'à cette date. Dans ce cas, toutefois, on devrait également admettre que, dans la mesure où il y a eu expulsion, le contrat avait certainement été résilié pour une échéance antérieure à la période concernée par la poursuite, à savoir novembre 2009 au 15 février 2010, si bien que le poursuivi ne dispose pas, dans cette hypothèse, d'un titre de mainlevée pour ladite période. III. En définitive, le recours doit être admis et le prononcé entrepris réformé en ce sens que l'opposition formée par Q.________ au commandement de payer n° 5'518'110 de l’Office des poursuites du district d’Aigle, notifié à la réquisition de C.________, est maintenue . Les frais de première instance du poursuivant sont fixés à 210 francs. Il n'est pas alloué de dépens de première instance. Les frais de deuxième instance du recourant sont arrêtés à 360 fr. et l'intimé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