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2011 / 219 vom 19. August 2011</w:t>
      </w:r>
    </w:p>
    <w:p>
      <w:r>
        <w:t>VD Tribunal cantonal, 2011-08-19, FR</w:t>
      </w:r>
    </w:p>
    <w:p>
      <w:r>
        <w:rPr>
          <w:b/>
        </w:rPr>
        <w:t xml:space="preserve">Quelle: </w:t>
      </w:r>
      <w:r>
        <w:t>https://mcp.opencaselaw.ch/entscheid/vd_findinfo_ML___2011___219</w:t>
      </w:r>
    </w:p>
    <w:p>
      <w:r>
        <w:t>FR: VD_FINDINFO ML / 2011 / 219 du 19 août 2011</w:t>
      </w:r>
    </w:p>
    <w:p>
      <w:r>
        <w:t>IT: VD_FINDINFO ML / 2011 / 219 del 19 agosto 2011</w:t>
      </w:r>
    </w:p>
    <w:p>
      <w:pPr>
        <w:pStyle w:val="Heading2"/>
      </w:pPr>
      <w:r>
        <w:t>Regeste</w:t>
      </w:r>
    </w:p>
    <w:p>
      <w:r>
        <w:t>SÉQUESTRE{LP} | 271 al. 1 ch. 4 LP, 278 LP, 405 al. 1 CPC (CH)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de la promesse de vente et d’achat conditionnelle elle aurait dû faire l’objet d’une provision pour les plus-values prétendues. En conséquence, la séquestrante n’a pas rendu vraisemblable sa créance, ce qui conduit à l’admission de l’opposition et à la levée du séquestre. III. Le recours doit en conséquence être rejeté et le prononcé attaqué confirmé. Les frais de deuxième instance, arrêtés à 570 fr., sont mis à la charge de la recourante. Cette dernière doit en outre payer à l’intimé la somme de 1'000 fr. à titre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