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195 vom 31. August 2011</w:t>
      </w:r>
    </w:p>
    <w:p>
      <w:r>
        <w:t>VD Tribunal cantonal, 2011-08-31, FR</w:t>
      </w:r>
    </w:p>
    <w:p>
      <w:r>
        <w:rPr>
          <w:b/>
        </w:rPr>
        <w:t xml:space="preserve">Quelle: </w:t>
      </w:r>
      <w:r>
        <w:t>https://mcp.opencaselaw.ch/entscheid/vd_findinfo_ML___2011___195</w:t>
      </w:r>
    </w:p>
    <w:p>
      <w:r>
        <w:t>FR: VD_FINDINFO ML / 2011 / 195 du 31 août 2011</w:t>
      </w:r>
    </w:p>
    <w:p>
      <w:r>
        <w:t>IT: VD_FINDINFO ML / 2011 / 195 del 31 agosto 2011</w:t>
      </w:r>
    </w:p>
    <w:p>
      <w:pPr>
        <w:pStyle w:val="Heading2"/>
      </w:pPr>
      <w:r>
        <w:t>Regeste</w:t>
      </w:r>
    </w:p>
    <w:p>
      <w:r>
        <w:t>ACTE DE RECOURS, CONDITION DE RECEVABILITÉ | 321 al. 1 CPC (CH), 321 al. 2 CPC (CH)</w:t>
      </w:r>
    </w:p>
    <w:p>
      <w:pPr>
        <w:pStyle w:val="Heading2"/>
      </w:pPr>
      <w:r>
        <w:t>Volltext</w:t>
      </w:r>
    </w:p>
    <w:p>
      <w:r>
        <w:t>Vaud Tribunal cantonal Cour des poursuites et faillites 31.08.2011 ML / 2011 / 195</w:t>
      </w:r>
    </w:p>
    <w:p>
      <w:r>
        <w:t>ACTE DE RECOURS, CONDITION DE RECEVABILITÉ | 321 al. 1 CPC (CH), 321 al. 2 CPC (CH)</w:t>
      </w:r>
    </w:p>
    <w:p>
      <w:r>
        <w:t>TRIBUNAL CANTONAL 366 Cour des poursuites et faillites ________________________________________________ Arrêt du 31 août 2011 __________________ Présidence de               M. Sauterel , vice-président Juges :              Mme Carlsson et M. Muller Greffier : Mme              Debétaz Ponnaz ***** Art. 321 al. 1 et 2 CPC Vu le prononcé rendu le 17 mai 2011, à la suite de l'audience du 13 mai 2011, par le Juge de paix du district de l'Ouest lausannois, rejetant la requête de mainlevée déposée par J.________AG , à Bâle, dans la poursuite n° 5'681'659 de l'Office des poursuites de Lausanne-Ouest exercée à son instance contre K.________SA , à Prilly, et mettant les frais de justice, arrêtés à 180 fr., à la charge de la partie poursuivante, sans allocation de dépens, vu la déclaration de recours et demande de motivation adressée par la poursuivante au juge de paix le 24 mai 2011, soit en temps utile (art. 239 al. 2 CPC – Code de procédure civile du 19 décembre 2008; RS 272), vu le prononcé motivé adressé pour notification aux parties le 27 juin 2011, vu la nouvelle déclaration de recours adressée au greffe du Tribunal cantonal par J.________AG le 4 juillet 2011; attendu que le recours, introduit auprès de l'instance de recours dans le délai de dix jours suivant la notification de la décision motivée (art. 321 al. 1 et 2 CPC), a été déposé en temps utile; attendu qu'en vertu de l'art. 321 al. 1 CPC, le recours s'exerce par le dépôt d'un acte écrit et motivé, que la motivation de l'acte, soit l'indication des motifs de recours au sens de l'art. 320 CPC, est une condition de recevabilité du recours, qu'en l'espèce, l'acte produit par J.________AG consiste en une seule déclaration de recours et ne comporte l'indication d'aucun moyen, motif ou grief contre la décision rejetant sa requête de mainlevée de l'opposition à la poursuite en cause,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4 juillet 2011, faute d'être motivé, ne satisfait donc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31 août 2011 L'arrêt qui précède, dont la rédaction a été approuvée à huis clos, prend date de ce jour. Il est notifié, par l'envoi de photocopies, à : ‑ J.________AG, ‑ K.________SA. La Cour des poursuites et faillites considère que la valeur litigieuse est de 7'790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