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188 vom 23. August 2011</w:t>
      </w:r>
    </w:p>
    <w:p>
      <w:r>
        <w:t>VD Tribunal cantonal, 2011-08-23, FR</w:t>
      </w:r>
    </w:p>
    <w:p>
      <w:r>
        <w:rPr>
          <w:b/>
        </w:rPr>
        <w:t xml:space="preserve">Quelle: </w:t>
      </w:r>
      <w:r>
        <w:t>https://mcp.opencaselaw.ch/entscheid/vd_findinfo_ML___2011___188</w:t>
      </w:r>
    </w:p>
    <w:p>
      <w:r>
        <w:t>FR: VD_FINDINFO ML / 2011 / 188 du 23 août 2011</w:t>
      </w:r>
    </w:p>
    <w:p>
      <w:r>
        <w:t>IT: VD_FINDINFO ML / 2011 / 188 del 23 agosto 2011</w:t>
      </w:r>
    </w:p>
    <w:p>
      <w:pPr>
        <w:pStyle w:val="Heading2"/>
      </w:pPr>
      <w:r>
        <w:t>Regeste</w:t>
      </w:r>
    </w:p>
    <w:p>
      <w:r>
        <w:t>MAINLEVÉE PROVISOIRE, RECONNAISSANCE DE DETTE, PRÊT DE CONSOMMATION, SOLIDARITÉ | 143 CO, 82 LP</w:t>
      </w:r>
    </w:p>
    <w:p>
      <w:pPr>
        <w:pStyle w:val="Heading2"/>
      </w:pPr>
      <w:r>
        <w:t>Erwägungen</w:t>
      </w:r>
    </w:p>
    <w:p>
      <w:r>
        <w:rPr>
          <w:b/>
        </w:rPr>
        <w:t>E. 1</w:t>
      </w:r>
    </w:p>
    <w:p>
      <w:r>
        <w:t>CPC; Freiburghaus/Afheldt, Kommentar zur Schweizerischen Zivilprozessordnung, n. 14 ad art. 321 CPC). Dans la jurisprudence récente, le Tribunal fédéral a déduit des art. 29 al. 2 Cst et 6 CEDH un véritable droit de réplique, surtout en matière de procédure pénale et de droit public; compris comme l’un des aspects de la notion générale de procès équitable au sens de ces dispositions,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car il appartient aux parties, et non au juge, de décider si une prise de position ou une pièce nouvellement versée au dossier contient des éléments déterminants qui appellent des observations de leur part. Ainsi, toute prise de position ou pièce nouvelle versée au dossier doit être communiquée aux parties pour leur permettre de décider si elles veulent ou non faire usage de leur faculté de se déterminer (TF 2C_156/2011 du 14 avril 2011 c. 2.2; ATF 133 I 100 c. 4.5, JT 2008 I 368; ATF 133 I 98 c. 2.2, JT 2007 I 379; ATF 132 I 42 c. 3.3, JT 2008 I 110). Cette jurisprudence est également applicable en procédure civile et s’applique nonobstant le fait qu’en principe la procédure de recours est limitée à un seul échange d’écritures (Freiburghaus/ Afheldt, op. cit., n. 8 ad art. 327 CPC; cf. aussi en matière de poursuite pour dettes et la faillite : TF 5A_791/2010 du 23 mars 2011 c. 2.3 destiné à la publication et les références citées ; TF 5A_42/2011 du 21 mars 2011 c. 2). Par conséquent, tant la lettre du poursuivi du 16 mars 2011 que ses déterminations déposées spontanément le 26 avril 2011 sont recevables.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En l’occurrence, il n’est pas contestable – et n’est pas contesté – que la convention du 17 juin 2009, accompagnée des courriers des 20 et 27 juillet 2010 de résiliation des contrats de gérances, vaut titre à la mainlevée pour le solde du prêt consenti (300'000 fr.), soit 162'500 fr. en capital, en application de l’art. 7 de la convention. b) Le premier juge a estimé que le prêt avait été accordé au poursuivi et à ses sociétés, et non au seul poursuivi. A la lecture de la convention du 17 juin 2009, on constate que le corps du texte ne mentionne que le poursuivi, tant pour l’octroi du prêt (art. 1) que pour son remboursement (art. 3). Cependant, le préam-bule de cette convention indique que le prêt est accordé au poursuivi et à ses sociétés (let. c). La convention doit ainsi être interprétée (art. 18 CO) en ce sens que le prêt était accordé au poursuivi et aux quatre sociétés immobilières mentionnées dans ce document. Du reste, dans sa réponse au recours, la poursuivante elle-même mentionne les sociétés comme étant codébitrices du prêt. Comme l’a relevé le premier juge, la solidarité passive, qui permet au créancier de rechercher chaque codébiteur pour l’entier de la dette (art. 144 CO), ne se présume pas; elle résulte soit de la loi, soit de la convention des parties (art. 143 CO). La solidarité conventionnelle naît tout d’abord de la déclaration expresse des parties, par l’utilisation du terme «solidaire» ou une forme équivalente, telle que «débiteurs pour le tout» (Romy, Commentaire romand, n. 6 ad art. 143 CO). Un engagement solidaire peut aussi se former par actes concluants ou tacites. Il ne sera toutefois retenu qu’en présence d’un comportement univoque, qui ne suscite raisonnablement aucun doute, tel qu’il résulte des circonstances ou du contexte du contrat interprété conformément au principe de la confiance. De manière générale, un comportement purement passif ne saurait être tenu pour la manifestation d’une volonté de s’engager. Il ne suffit pas non plus de conclure un contrat à plusieurs pour que naisse une obligation solidaire entre les intéressés (Romy, op. cit., n. 7 ad art. 143 CO). En outre, en cas de doute, il convient d’opter pour la divisibilité de la créance (CPF, 11 novembre 2010/436 et les réf. cit.). Dans un arrêt du 14 novembre 1990, le Tribunal fédéral a considéré que lorsque plusieurs actionnaires vendaient simultanément leurs actions au même acheteur, ils pouvaient soit conclure des contrats de vente indépendants ou se regrouper à cette fin dans une société simple, le défaut de spécification des actions vendues et du prix de vente créant, conformément à l’art. 143 CO, une responsabilité solidaire fondée sur le contrat de vente (ATF 116 II 707, JT 1991 I 357). En l’espèce, le prêt n’a pas été divisé entre les différents emprunteurs, seul le poursuivi devant le rembourser; les sociétés immobilières étaient décrites comme les sociétés du poursuivi ("ses sociétés"). Ces éléments conduisent à interpréter la convention en ce sens que le prêt a été octroyé à une communauté d’emprunteurs, constituée en société simple. Or, en vertu de la loi, les associés sont solidairement responsables des engagements qu’ils ont assumé envers les tiers, en agissant conjointement ou par l’entremise d’un représentant, à défaut de convention contraire (art. 544 al. 3 CO; Chaix, Commentaire romand, nn. 11 et 12 ad art. 544 CO). Le solde du prêt, par 162'500 fr., est ainsi dû entièrement par le poursuivi. c) Le recourant invoque la compensation avec des créances qu'il détiendrait contre l'intimée – soit directement soit indirectement selon la cession de créances du 24 novembre 2010 –, à savoir : 75'811 fr. 03, figurant dans le décompte de la poursuivante du 10 novembre 2010, 28'406 fr., correspondant à la facture de [...] SA, et 1'100 fr. correspondant aux dépens de la procédure provi-sionnelle menée devant le Président du Tribunal d’arrondissement de Lausanne. Sur le principe, le poursuivi est admis à soulever et à rendre vrai-semblables tous moyens libératoires. Il peut notamment faire échec à la mainlevée s'il rend vraisemblable que sa dette est éteinte par compensation (Panchaud/Caprez, op. cit., § 36). Il incombe toutefois au poursuivi de rendre vraisemblables, d'une part, son droit d'opposer la compensation, d'autre part, le principe et le montant de sa créance. En l'espèce, force est de constater que même après déduction des montants invoqués en compensation (75'811 fr. 03 + 28'406 fr. + 1'100 fr.), le solde dû par le poursuivi est supérieur au montant accordé par le premier juge. Il n'y a dès lors pas lieu d'examiner cette question plus avant. III. En définitive, le recours doit être rejeté et le prononcé entrepris confirmé. Les frais de deuxième instance du recourant sont arrêtés à 510 francs. Celui-ci doit verser la somme de 500 fr. à l’intimée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