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184 vom 22. August 2011</w:t>
      </w:r>
    </w:p>
    <w:p>
      <w:r>
        <w:t>VD Tribunal cantonal, 2011-08-22, FR</w:t>
      </w:r>
    </w:p>
    <w:p>
      <w:r>
        <w:rPr>
          <w:b/>
        </w:rPr>
        <w:t xml:space="preserve">Quelle: </w:t>
      </w:r>
      <w:r>
        <w:t>https://mcp.opencaselaw.ch/entscheid/vd_findinfo_ML___2011___184</w:t>
      </w:r>
    </w:p>
    <w:p>
      <w:r>
        <w:t>FR: VD_FINDINFO ML / 2011 / 184 du 22 août 2011</w:t>
      </w:r>
    </w:p>
    <w:p>
      <w:r>
        <w:t>IT: VD_FINDINFO ML / 2011 / 184 del 22 agosto 2011</w:t>
      </w:r>
    </w:p>
    <w:p>
      <w:pPr>
        <w:pStyle w:val="Heading2"/>
      </w:pPr>
      <w:r>
        <w:t>Regeste</w:t>
      </w:r>
    </w:p>
    <w:p>
      <w:r>
        <w:t>TITRE DE MAINLEVÉE, PRÊT DE CONSOMMATION, EXIGIBILITÉ | 82 LP</w:t>
      </w:r>
    </w:p>
    <w:p>
      <w:pPr>
        <w:pStyle w:val="Heading2"/>
      </w:pPr>
      <w:r>
        <w:t>Erwägungen</w:t>
      </w:r>
    </w:p>
    <w:p>
      <w:r>
        <w:rPr>
          <w:b/>
        </w:rPr>
        <w:t>E. 4</w:t>
      </w:r>
    </w:p>
    <w:p>
      <w:r>
        <w:t>octobre 2007/341; CPF 7 juillet 2005/231, CPF, 20 février 2003/48), que le recourant conserve ainsi la possibilité de déposer une nouvelle requête de mainlevée en produisant toutes les pièces utiles et nécessaires; considérant que la décision attaquée est bien fondée et ne peut qu'être confirmée par adoption de motifs, que le recours, manifestement mal fondé, doit être rejeté et le prononcé entrepris confirmé, que les frais du présent arrêt, par 510 fr., sont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