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165 vom 19. Mai 2011</w:t>
      </w:r>
    </w:p>
    <w:p>
      <w:r>
        <w:t>VD Tribunal cantonal, 2011-05-19, FR</w:t>
      </w:r>
    </w:p>
    <w:p>
      <w:r>
        <w:rPr>
          <w:b/>
        </w:rPr>
        <w:t xml:space="preserve">Quelle: </w:t>
      </w:r>
      <w:r>
        <w:t>https://mcp.opencaselaw.ch/entscheid/vd_findinfo_ML___2011___165</w:t>
      </w:r>
    </w:p>
    <w:p>
      <w:r>
        <w:t>FR: VD_FINDINFO ML / 2011 / 165 du 19 mai 2011</w:t>
      </w:r>
    </w:p>
    <w:p>
      <w:r>
        <w:t>IT: VD_FINDINFO ML / 2011 / 165 del 19 maggio 2011</w:t>
      </w:r>
    </w:p>
    <w:p>
      <w:pPr>
        <w:pStyle w:val="Heading2"/>
      </w:pPr>
      <w:r>
        <w:t>Regeste</w:t>
      </w:r>
    </w:p>
    <w:p>
      <w:r>
        <w:t>MAINLEVÉE PROVISOIRE, PRÊT DE CONSOMMATION, ACOMPTE, PRESCRIPTION, RÉCUSATION | 46 CPC, 82 LP</w:t>
      </w:r>
    </w:p>
    <w:p>
      <w:pPr>
        <w:pStyle w:val="Heading2"/>
      </w:pPr>
      <w:r>
        <w:t>Erwägungen</w:t>
      </w:r>
    </w:p>
    <w:p>
      <w:r>
        <w:rPr>
          <w:b/>
        </w:rPr>
        <w:t>E. 30</w:t>
      </w:r>
    </w:p>
    <w:p>
      <w:r>
        <w:t>avril 2004/271). Ces situations ne sont pas réalisées en l’espèce. La recourante n’a pas établi que ses versements sont parvenus sur le compte de l’intimée avant les dates mentionnées dans le commandement de payer et dans la requête de mainlevée. C’est donc à juste titre que le premier juge a retenu ces dates dans son dispositif. VI. Le recours doit ainsi être rejeté. Les frais de deuxième instance de la recourante sont arrêtés à 510 fr. ; celle-ci doit verser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