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122 vom 24. Juni 2011</w:t>
      </w:r>
    </w:p>
    <w:p>
      <w:r>
        <w:t>VD Tribunal cantonal, 2011-06-24, FR</w:t>
      </w:r>
    </w:p>
    <w:p>
      <w:r>
        <w:rPr>
          <w:b/>
        </w:rPr>
        <w:t xml:space="preserve">Quelle: </w:t>
      </w:r>
      <w:r>
        <w:t>https://mcp.opencaselaw.ch/entscheid/vd_findinfo_ML___2011___122</w:t>
      </w:r>
    </w:p>
    <w:p>
      <w:r>
        <w:t>FR: VD_FINDINFO ML / 2011 / 122 du 24 juin 2011</w:t>
      </w:r>
    </w:p>
    <w:p>
      <w:r>
        <w:t>IT: VD_FINDINFO ML / 2011 / 122 del 24 giugno 2011</w:t>
      </w:r>
    </w:p>
    <w:p>
      <w:pPr>
        <w:pStyle w:val="Heading2"/>
      </w:pPr>
      <w:r>
        <w:t>Regeste</w:t>
      </w:r>
    </w:p>
    <w:p>
      <w:r>
        <w:t>DÉCISION D'IRRECEVABILITÉ, OBLIGATION DE CHIFFRER LES CONCLUSIONS | 17 CPC, 461 CPC, 464 CPC</w:t>
      </w:r>
    </w:p>
    <w:p>
      <w:pPr>
        <w:pStyle w:val="Heading2"/>
      </w:pPr>
      <w:r>
        <w:t>Volltext</w:t>
      </w:r>
    </w:p>
    <w:p>
      <w:r>
        <w:t>Vaud Tribunal cantonal Cour des poursuites et faillites 24.06.2011 ML / 2011 / 122</w:t>
      </w:r>
    </w:p>
    <w:p>
      <w:r>
        <w:t>DÉCISION D'IRRECEVABILITÉ, OBLIGATION DE CHIFFRER LES CONCLUSIONS | 17 CPC, 461 CPC, 464 CPC</w:t>
      </w:r>
    </w:p>
    <w:p>
      <w:r>
        <w:t>TRIBUNAL CANTONAL 234 Cour des poursuites et faillites ________________________________________________ Arrêt du 24 juin 2011 ________________ Présidence de               M. Hack , président Juges :              Mme Carlsson et M. Bosshard Greffier : Mme              Nüssli ***** Art. 17, 461 et 464 CPC-VD Vu le prononcé rendu le 9 août 2010 par le Juge de paix du district du Gros-de-Vaud, à la suite de l'audience du 2 août 2010, dans la cause opposant J.________ , à Etagnières, à H.________ , à Cheseaux-sur-Lausanne, X.________ , à Lausanne, R.________ et V.________ , tous deux  à Penthalaz, vu la lettre du 18 août 2010, par laquelle J.________ déclare s'opposer à cette décision, vu le prononcé motivé adressé pour notification aux parties le 31 janvier 2011, attendu que le recours est régi par l'ancien droit puisque le dispositif de la décision a été communiqué en 2010 encore (art. 405 al. 1 CPC, Code de procédure civile du 19 décembre 2008; RS 272; TF 4A_106/2011 du 31 mars 2011 destiné à la publication, RSJ 2011 p. 261); que la déclaration de recours a été déposée dans le délai de motivation, soit en temps utile (art. 54 al. 1 et 3 aLVLP, loi vaudoise d'application de la loi fédérale sur la poursuite pour dettes et la faillite du 18 mai 1955, RSV 280.05), qu'en revanche, elle ne comporte aucune conclusion en réforme ou en nullité ni aucun moyen de recours reconnaissable contre la décision au sens de l'art. 461 CPC-VD  (Code de procédure civile du canton de Vaud du 14 décembre 1966, RSV 270.11), applicable par le renvoi de l'art. 58 al. 1 LVLP, que par courrier recommandé du 6 mai 2011, le président de la cour de céans, en application de l'art. 17 CPC, a renvoyé son acte à J.________ et lui a imparti un délai de cinq jours dès réception pour le refaire en précisant ses conclusions et notamment le montant exact – en chiffres – qu'il réclamait, contestait ou reconnaissait devoir, que cet avis indiquait que si le nouvel acte de recours n'était pas produit dans le délai imparti, le recours pourrait être déclaré irrecevable, que le pli recommandé contenant l'avis précité a été retourné par La Poste au greffe de la cour de céans à l'échéance du délai de garde avec la mention "non réclamé"; que le destinataire d'un pli non retiré dans le délai de garde de sept jours est censé l'avoir reçu le dernier jour de ce délai (Poudret/Haldy/Tappy, Procédure civile vaudoise, n. 1.2 ad art. 23 CPC-VD) que tel est bien le cas en l'espèce puisque J.________, qui a contesté le prononcé du juge de paix, devait s'attendre à recevoir un pli des autorités judiciaires, que l'intéressé n'a donné aucune suite dans le délai imparti à l'avis du 6 mai 2011, que faute de comporter des conclusions conformes aux exigences de la procédure, l'acte du 18 août 2010, dans la mesure où il s'agit d'un recours, est irrecevable et doit être écarté, le prononcé attaqué étant maintenu (art. 464 CPC-VD); attendu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24 juin 2011 L'arrêt qui précède, dont la rédaction a été approuvée à huis clos, prend date de ce jour. Il est notifié, par l'envoi de photocopies, à : ‑ M. J.________, ‑ Me Lionel Zeiter, avocat (pour H.________, R.________, X.________ et V.________). La Cour des poursuites et faillites considère que la valeur litigieuse est de 17'278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