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2011 / 121 vom 9. Dezember 2010</w:t>
      </w:r>
    </w:p>
    <w:p>
      <w:r>
        <w:t>VD Tribunal cantonal, 2010-12-09, FR</w:t>
      </w:r>
    </w:p>
    <w:p>
      <w:r>
        <w:rPr>
          <w:b/>
        </w:rPr>
        <w:t xml:space="preserve">Quelle: </w:t>
      </w:r>
      <w:r>
        <w:t>https://mcp.opencaselaw.ch/entscheid/vd_findinfo_ML___2011___121</w:t>
      </w:r>
    </w:p>
    <w:p>
      <w:r>
        <w:t>FR: VD_FINDINFO ML / 2011 / 121 du 9 décembre 2010</w:t>
      </w:r>
    </w:p>
    <w:p>
      <w:r>
        <w:t>IT: VD_FINDINFO ML / 2011 / 121 del 9 dicembre 2010</w:t>
      </w:r>
    </w:p>
    <w:p>
      <w:pPr>
        <w:pStyle w:val="Heading2"/>
      </w:pPr>
      <w:r>
        <w:t>Regeste</w:t>
      </w:r>
    </w:p>
    <w:p>
      <w:r>
        <w:t>MAINLEVÉE DÉFINITIVE, DÉCISION EXÉCUTOIRE | 80 LP, 2 C-EJP, 3 C-EJP, 4 C-EJP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05) du canton de V.________ , les montants des impôts, taxes, majorations, frais et amendes portent intérêt au taux légal après l'expiration d'un délai de trente jours à compter de la notification de la décision. L'intimé a produit les arrêtés d’application relatifs aux taux d’intérêts moratoires. Il en résulte que les taux d'intérêt légaux dus sur les créances de droit public ont été les suivants : 1,5 % en 2009 et 1,5 % en 2010. L'art. 28 al. 2 LPGIP prévoit cependant qu'en dérogation aux taux précités, le taux applicable en cas de poursuite pour dettes est de 5% l'an à compter de la réquisition de poursuite et jusqu'au terme de la procédure de recouvrement. Dès lors que les pièces produites ne comprennent pas la réquisition de poursuite, il y a lieu d’allouer l’intérêt de 5% l’an dès le lendemain de la notification de la poursuite, soit le 2 mars 2010. III. En définitive, le recours doit être partiellement admis et le prononcé attaqué réformé en ce sens que l’opposition est définitivement levée à hauteur de 14’704 fr. 05 plus intérêt au taux de 5 % l'an dès le 2 mars 2010. L’opposition est maintenue pour le surplus. Les frais de première instance du poursuivant sont arrêtés à 360 francs. La poursuivie doit payer au poursuivant la somme de 300 fr. à titre de dépens de première instance. Les frais d'arrêt de la recourante sont fixés à 510 francs. L’intimé doit payer à la recourante la somme de 285 fr. à titre de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