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119 vom 29. Juni 2011</w:t>
      </w:r>
    </w:p>
    <w:p>
      <w:r>
        <w:t>VD Tribunal cantonal, 2011-06-29, FR</w:t>
      </w:r>
    </w:p>
    <w:p>
      <w:r>
        <w:rPr>
          <w:b/>
        </w:rPr>
        <w:t xml:space="preserve">Quelle: </w:t>
      </w:r>
      <w:r>
        <w:t>https://mcp.opencaselaw.ch/entscheid/vd_findinfo_ML___2011___119</w:t>
      </w:r>
    </w:p>
    <w:p>
      <w:r>
        <w:t>FR: VD_FINDINFO ML / 2011 / 119 du 29 juin 2011</w:t>
      </w:r>
    </w:p>
    <w:p>
      <w:r>
        <w:t>IT: VD_FINDINFO ML / 2011 / 119 del 29 giugno 2011</w:t>
      </w:r>
    </w:p>
    <w:p>
      <w:pPr>
        <w:pStyle w:val="Heading2"/>
      </w:pPr>
      <w:r>
        <w:t>Regeste</w:t>
      </w:r>
    </w:p>
    <w:p>
      <w:r>
        <w:t>ACTE DE RECOURS, CONCLUSIONS | 17 CPC, 461 CPC, 58 al. 1 LVLP</w:t>
      </w:r>
    </w:p>
    <w:p>
      <w:pPr>
        <w:pStyle w:val="Heading2"/>
      </w:pPr>
      <w:r>
        <w:t>Volltext</w:t>
      </w:r>
    </w:p>
    <w:p>
      <w:r>
        <w:t>Vaud Tribunal cantonal Cour des poursuites et faillites 29.06.2011 ML / 2011 / 119</w:t>
      </w:r>
    </w:p>
    <w:p>
      <w:r>
        <w:t>ACTE DE RECOURS, CONCLUSIONS | 17 CPC, 461 CPC, 58 al. 1 LVLP</w:t>
      </w:r>
    </w:p>
    <w:p>
      <w:r>
        <w:t>TRIBUNAL CANTONAL 255 Cour des poursuites et faillites ________________________________________________ Arrêt du 29 juin 2011 _________________ Présidence de               M. Hack , président Juges :              MM. Bosshard et Muller Greffier : Mme              Debétaz Ponnaz ***** Art. 58 al. 1 LVLP, 17 et 461 CPC Vu la décision rendue le 10 décembre 2010, à la suite de l'audience du 23 novembre 2010, par le Juge de paix du district de Lavaux-Oron, prononçant la mainlevée définitive, à concurrence de 10'000 fr., plus intérêt au taux de 5 % l'an dès le 31 juillet 2010, de l'opposition formée par A.N.________ , à Lutry, à la poursuite n° 5'509'651 de l'Office des poursuites de Lavaux-Oron, exercée contre elle à l'instance de A.C.________ et de B.C.________ , tous deux à Lutry, étant précisé que la poursuivie avait partiellement retiré son opposition, à hauteur de 4'897 fr. 25, par courrier du 19 novembre 2010, arrêtant à 180 fr. les frais de justice des poursuivants et disant que la poursuivie devait leur verser la somme de 430 fr. à titre de dépens, vu le recours, censé comprendre une demande de motivation (art. 54 al. 3 LVLP [loi vaudoise d'application de la loi fédérale sur la poursuite pour dettes et la faillite; RSV 280.05 - dans sa rédaction en vigueur jusqu'au 31 décembre 2010 (art. 45 ss LVLP)], formé contre ce prononcé qu'elle avait reçu le 13 décembre 2010, par acte daté du 16 et posté le 17 décembre 2010, aux noms de A.N.________ et de B.N.________, mais signé uniquement par ce dernier, vu le prononcé motivé adressé pour notification aux parties le 15 février 2011, vu la transmission du dossier par le premier juge à la cour de céans, autorité de recours, le 28 février 2011; attendu que le recours peut être formé dans le délai de demande de motivation (art. 54 al. 3 LVLP), lequel est de dix jours dès la réception du dispositif (art. 54 al. 1 LVLP), qu'en l'espèce, le recours déposé le 17 décembre 2010 contre le prononcé reçu le 13 décembre 2010 a été formé en temps utile, qu'en revanche, il ne porte pas la signature de la recourante et, en outre, ne contient aucune conclusion précise, c'est-à-dire l'énoncé exact des réclamations de la recourante, en réforme ou en nullité, au sens de l'art. 461 CPC-VD (Code de procédure civile vaudoise; RSV 270.11) applicable par le renvoi de l'art. 58 al. 1 LVLP, contre la décision de mainlevée, qu'en application de l'art. 17 CPC-VD, le président de la cour de céans, par avis adressé à A.N.________ en courrier recommandé le 15 avril 2011, lui a imparti un délai au 9 mai 2011 pour refaire son acte de recours en précisant ses conclusions, notamment le montant exact – en chiffres – qu'elle contestait ou reconnaissait devoir, et pour le signer, faute de quoi le recours pourrait être déclaré irrecevable, que, selon les informations sur l'acheminement postal de cet envoi figurant au dossier, l'intéressée l'a reçu le 18 avril 2011, qu'elle n'y a donné aucune suite dans le délai imparti, que, faute de comporter la signature de la recourante et des conclusions conformes aux exigences légales de procédure, le recours déposé le 17 décembre 2010 est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29 juin 2011 L'arrêt qui précède, dont la rédaction a été approuvée à huis clos, prend date de ce jour. Il est notifié, par l'envoi de photocopies, à : ‑ Mme A.N.________, ‑ M. Pascal Stouder, agent d'affaires breveté (pour A.C.________ et B.C.________. La Cour des poursuites et faillites considère que la valeur litigieuse est de 5'102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