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110 vom 10. März 2011</w:t>
      </w:r>
    </w:p>
    <w:p>
      <w:r>
        <w:t>VD Tribunal cantonal, 2011-03-10, FR</w:t>
      </w:r>
    </w:p>
    <w:p>
      <w:r>
        <w:rPr>
          <w:b/>
        </w:rPr>
        <w:t xml:space="preserve">Quelle: </w:t>
      </w:r>
      <w:r>
        <w:t>https://mcp.opencaselaw.ch/entscheid/vd_findinfo_ML___2011___110</w:t>
      </w:r>
    </w:p>
    <w:p>
      <w:r>
        <w:t>FR: VD_FINDINFO ML / 2011 / 110 du 10 mars 2011</w:t>
      </w:r>
    </w:p>
    <w:p>
      <w:r>
        <w:t>IT: VD_FINDINFO ML / 2011 / 110 del 10 marzo 2011</w:t>
      </w:r>
    </w:p>
    <w:p>
      <w:pPr>
        <w:pStyle w:val="Heading2"/>
      </w:pPr>
      <w:r>
        <w:t>Regeste</w:t>
      </w:r>
    </w:p>
    <w:p>
      <w:r>
        <w:t>MAINLEVÉE DÉFINITIVE, TITRE DE MAINLEVÉE, OBLIGATION D'ENTRETIEN, MAJORITÉ{ÂGE}, CONVENTION SUR LES EFFETS ACCESSOIRES DU DIVORCE, JUGEMENT DE DIVORCE, FORMATION PROFESSIONNELLE | 277 al. 2 CC, 289 CC, 80 al. 1 LP</w:t>
      </w:r>
    </w:p>
    <w:p>
      <w:pPr>
        <w:pStyle w:val="Heading2"/>
      </w:pPr>
      <w:r>
        <w:t>Erwägungen</w:t>
      </w:r>
    </w:p>
    <w:p>
      <w:r>
        <w:rPr>
          <w:b/>
        </w:rPr>
        <w:t>E. 7</w:t>
      </w:r>
    </w:p>
    <w:p>
      <w:r>
        <w:t>juillet 2005/229; CPF, 9 juin 2005/193; CPF, 11 mars 2004/86 et les références citées; cf. aussi ATF 129 III 55 c. 3.1.2, rés. in JT 2003 I 210; Perrin, Commentaire romand, n. 4 ad art. 289 CC). En l'espèce,              C.F.________ a valablement cédé au recourant ses droits sur les pensions alimentaires futures et sur les pensions échues dans les six mois antérieurs à son intervention, par déclaration signée le 15 juin 2008. Au demeurant, selon l'art. 289 al. 2 CC, lorsque la collectivité publique assume l'entretien de l'enfant, y compris par des avances (Perrin, op. cit., n. 9 ad art. 289 CC), la prétention à la contribution d'entretien passe à cette dernière avec tous les droits qui lui sont rattachés. La collectivité publique devient ainsi créancière de la prétention d'entretien en vertu d'une subrogation légale (art. 166 CO [Code des obligations; RS 220]; Perrin, op. cit., n. 8 ad art. 289 CC) et le débiteur d'entretien doit payer en mains de la collectivité pour se libérer valablement, dès qu'il a ou peut avoir connaissance de la subrogation. La qualité pour agir du recourant est ainsi établie. c)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 la majorité, en effet, l'obligation d'entretien "ordinaire" cesse (art. 277 al. 1 CC) et au-delà de ce seuil, cette obligation revêt un caractère "extraordinaire", en ce sens qu'elle est soumise aux conditions particulières fixées par l'art. 277 al. 2 CC (Meier/Stettler, op. cit., n. 1074, p. 619; cf. aussi Piotet, Commentaire romand, n. 6 ad art. 277 CC).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précité). Autre est la situation où, comme en l'espèce, le jugement de divorce indique clairement et sans réserve que le père contribuera à l'entretien de son fils par le versement d'une pension, fixée et chiffrée, jusqu'à sa majorité et au-delà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 valoir jugement, lequel vaut alors en principe titre de mainlevée définitive pour la pension fixée (CPF, 8 février 2007/26). En l'espèce, toutefois, C.F.________ a terminé sa formation d'horloger praticien le 30 juin 2008 et obtenu son certificat fédéral de capacité (CFC). La formation qu'il a entreprise à partir du 1 er septembre 2008 est une formation complémentaire pour devenir horloger dans le domaine professionnel du rhabillage. Il s'agit donc d'un complément, d'un perfectionnement ou d'une spécialisation. La question de savoir si cela entre dans le cadre de la formation professionnelle visée par le chiffre III de la convention sur les effets du divorce et qui constitue la condition à laquelle est liée l'engagement de son père de contribuer à son entretien après sa majorité est une question délicate, qui n'a pas à être tranchée dans le cadre de la procédure sommaire de mainlevée et doit être examinée par le juge du fond, dans le cadre d'un procès civil ordinaire. III. En définitive, le recours doit donc être rejeté et le prononcé confirmé. Les frais de deuxième instance du recourant sont arrêtés à 570 francs. Il doit en outre verser à l'intimé la somme de 600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