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91 vom 18. Februar 2010</w:t>
      </w:r>
    </w:p>
    <w:p>
      <w:r>
        <w:t>VD Tribunal cantonal, 2010-02-18, FR</w:t>
      </w:r>
    </w:p>
    <w:p>
      <w:r>
        <w:rPr>
          <w:b/>
        </w:rPr>
        <w:t xml:space="preserve">Quelle: </w:t>
      </w:r>
      <w:r>
        <w:t>https://mcp.opencaselaw.ch/entscheid/vd_findinfo_ML___2010___91</w:t>
      </w:r>
    </w:p>
    <w:p>
      <w:r>
        <w:t>FR: VD_FINDINFO ML / 2010 / 91 du 18 février 2010</w:t>
      </w:r>
    </w:p>
    <w:p>
      <w:r>
        <w:t>IT: VD_FINDINFO ML / 2010 / 91 del 18 febbraio 2010</w:t>
      </w:r>
    </w:p>
    <w:p>
      <w:pPr>
        <w:pStyle w:val="Heading2"/>
      </w:pPr>
      <w:r>
        <w:t>Regeste</w:t>
      </w:r>
    </w:p>
    <w:p>
      <w:r>
        <w:t>VENTE, PRÊT À USAGE, RECONNAISSANCE DE DETTE, CESSION DE CONTRAT, CAUTIONNEMENT, CHANGEMENT DE CRÉANCIER | 82 LP</w:t>
      </w:r>
    </w:p>
    <w:p>
      <w:pPr>
        <w:pStyle w:val="Heading2"/>
      </w:pPr>
      <w:r>
        <w:t>Erwägungen</w:t>
      </w:r>
    </w:p>
    <w:p>
      <w:r>
        <w:rPr>
          <w:b/>
        </w:rPr>
        <w:t>E. 3</w:t>
      </w:r>
    </w:p>
    <w:p>
      <w:r>
        <w:t>LP). Il tend principalement à la nullité et, subsidiairement, à la réforme. En nullité, le recourant se plaint d’un exposé insuffisant des faits par le premier juge et de l’absence d’imputation de certains versements sur le montant en poursuite. De tels griefs sont irrecevables en nullité, voie de droit subsidiaire (Poudret/Haldy/Tappy, Procédure civile vaudoise, 3 e éd., n. 14 ad art. 444 CPC). En effet, la voie de recours en réforme, qui est ouverte contre un prononcé de mainlevée, permet à la cour de céans de revoir la cause avec un plein pouvoir d’examen en droit mais également en fait, sur la base du dossier. Le recours en nullité est irrecevable. Il y a lieu d’examiner le recours en réforme. II. a) Selon l’art. 82 LP, le créancier dont la poursuite se fonde sur une reconnaissance de dette constatée par acte authentique ou sous seing privé peut requérir la mainlevée provisoire. C onstitue une reconnaissance de dette l’acte authentique ou sous seing privé signé par le poursuivi d’où ressort sa volonté de payer au poursuivant, sans réserve ni condition, une somme d’argent déterminée, ou aisément déterminable (ATF 130 III 87, JT 2004 II 118). La procédure de mainlevée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p. 142).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(Gilliéron, Commentaire de la loi fédérale sur la poursuite pour dettes et la faillite, n. 82 ad art. 82 LP). b) Comme titre de mainlevée, H.________ invoque le contrat de cautionnement passé entre V.________ et I.________ le 20 septembre 2006 (le commandement de payer mentionne la date erronée du 20 août 2006). Ce contrat contient une élection de droit en faveur du droit allemand. Selon acte du 2 novembre 2006, H.________ est cessionnaire des droits détenus par la société I.________. Cet acte est également soumis au droit allemand. C’est donc ce droit qui détermine les effets de la cession (art. 116 LDIP, loi fédérale sur le droit international privé du du 18 décembre 1987 ; RS 291). Aux termes de l'art. 16 al. 1 LDIP, le contenu du droit étranger doit être établi d'office. A cet effet, la collaboration des parties peut être requise. En matière patrimoniale, la preuve peut être mise à la charge des parties. Selon l'art. 16 al. 2 LDIP, le droit suisse s'applique si le contenu du droit étranger ne peut être établi. En l’espèce, le contenu du droit allemand en matière de cautionnement et de cession de créance n’a été abordé ni dans la décision attaquée ni dans les écritures des parties. Quoi qu’il en soit, il n’apparaît pas indispensable d’approfondir cette question pour les motifs qui suivent. La portée de la cession peut déjà être appréciée sur la base du contenu de l’acte du 2 novembre 2006 passé entre I.________ et H.________. Selon l’art. 6 de ce contrat, l’intimé a connaissance du fait qu’V.________ s’est porté caution solidaire à première demande selon le droit allemand pour l’obligation résultant du prêt ; il est précisé que H.________ sait que les obligations de la caution peuvent s’éteindre en raison de la cession de créance, raison pour laquelle les parties ont prévu de prier le recourant d’accepter le changement de créancier, I.________ étant chargé de lui transmettre l’attestation de cautionnement joint au contrat. Il ressort en outre de l’art.</w:t>
      </w:r>
    </w:p>
    <w:p>
      <w:r>
        <w:rPr>
          <w:b/>
        </w:rPr>
        <w:t>E. 7</w:t>
      </w:r>
    </w:p>
    <w:p>
      <w:r>
        <w:t>qu’I.________ se porte caution envers H.________ pour la créance cédée issue du prêt et que celui-ci garantit à I.________ d’avoir recours à sa caution qu’après avoir eu recours à la caution d’V.________, si toutefois celui-ci valide le changement de créancier. Il résulte ainsi de l’acte de cession entre I.________ et H.________ que ceux-ci ont eux-mêmes laissé entendre qu’V.________ ne serait pas tenu à l’égard de l’intimé s’il n’agréait pas le changement de créancier. H.________ n’a pas établi par pièce que le recourant aurait accepté. Dans ces conditions, sous l’angle de la vraisemblance tout du moins, on peut admettre l’existence d’un moyen libératoire suffisant. En effet, au vu de la teneur du contrat de cession, il existe une incertitude sur la question de savoir si le bénéfice du cautionnement est passé à l’intimé cessionnaire. Cette incertitude est suffisante pour admettre un moyen libératoire, même s’il n’est pas exclu qu’il puisse en aller autrement. H.________ ne dispose pas non plus d’un titre de mainlevée sur la base du contrat de prêt du 28 avril 2006 accordé par I.________ au recourant. En effet, la dette issue de ce prêt a été reprise par K.________ SA selon contrat du 20 septembre 2006, ce qui a libéré V.________. L’art. 75 LFus (Loi sur la fusion du 3 octobre 2003, RS 221.301) invoqué par l’intimé sur le commandement de payer apparaît par conséquent sans portée, la reprise de dette ne résultant pas d’une fusion – à propos de laquelle l’intimé n’a d’ailleurs rien établi – mais bien d’un contrat autonome passé avec le prêteur. III. Dans ces conditions, le recours doit être admis et le prononcé réformé en ce sens que l'opposition formée par V.________ au comman-dement de payer n° 2'347'554 de l'Office des poursuites de Lausanne-Ouest, notifié à la réquisition de H.________, est maintenue. Les frais de première instance, par 660 fr., sont laissés à la charge de l’intimé. Celui-ci doit payer au recourant la somme de 700 fr. à titre de dépens de première instance. Les frais de deuxième instance du recourant sont arrêtés à 900 francs. Obtenant gain de cause, il a droit à des dépens de deuxième instance, par 1’900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