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63 vom 21. April 2010</w:t>
      </w:r>
    </w:p>
    <w:p>
      <w:r>
        <w:t>VD Tribunal cantonal, 2010-04-21, FR</w:t>
      </w:r>
    </w:p>
    <w:p>
      <w:r>
        <w:rPr>
          <w:b/>
        </w:rPr>
        <w:t xml:space="preserve">Quelle: </w:t>
      </w:r>
      <w:r>
        <w:t>https://mcp.opencaselaw.ch/entscheid/vd_findinfo_ML___2010___63</w:t>
      </w:r>
    </w:p>
    <w:p>
      <w:r>
        <w:t>FR: VD_FINDINFO ML / 2010 / 63 du 21 avril 2010</w:t>
      </w:r>
    </w:p>
    <w:p>
      <w:r>
        <w:t>IT: VD_FINDINFO ML / 2010 / 63 del 21 aprile 2010</w:t>
      </w:r>
    </w:p>
    <w:p>
      <w:pPr>
        <w:pStyle w:val="Heading2"/>
      </w:pPr>
      <w:r>
        <w:t>Regeste</w:t>
      </w:r>
    </w:p>
    <w:p>
      <w:r>
        <w:t>DÉCISION D'IRRECEVABILITÉ, OBLIGATION DE CHIFFRER LES CONCLUSIONS, ACTE DE RECOURS | 17 CPC, 461 CPC, 464 CPC</w:t>
      </w:r>
    </w:p>
    <w:p>
      <w:pPr>
        <w:pStyle w:val="Heading2"/>
      </w:pPr>
      <w:r>
        <w:t>Volltext</w:t>
      </w:r>
    </w:p>
    <w:p>
      <w:r>
        <w:t>Vaud Tribunal cantonal Cour des poursuites et faillites 21.04.2010 ML / 2010 / 63</w:t>
      </w:r>
    </w:p>
    <w:p>
      <w:r>
        <w:t>DÉCISION D'IRRECEVABILITÉ, OBLIGATION DE CHIFFRER LES CONCLUSIONS, ACTE DE RECOURS | 17 CPC, 461 CPC, 464 CPC</w:t>
      </w:r>
    </w:p>
    <w:p>
      <w:r>
        <w:t>TRIBUNAL CANTONAL 178 Cour des poursuites et faillites ________________________________________________ Arrêt du 21 avril 2010 __________________ Présidence de               M. Muller , président Juges :              Mme Carlsson et M. Hack Greffier : Mme              Nüssli ***** Art. 17, 461 et 464 CPC Vu le prononcé rendu le 20 novembre 2009 par le Juge de paix du district de Lausanne, à la suite de l'audience du 10 novembre 2009, dans la cause opposant X.________ , à Lausanne, à Q.________ SA , à Lausanne (poursuite n° 5'062'444 de l'Office des poursuites de l'arrondissement de Lausanne-Est), vu la demande de motivation déposée le 30 novembre 2009 par X.________, qui déclare d'ores et déjà s'opposer à la décision, vu le prononcé motivé adressé pour notification aux parties le 2 février 2010, vu le pli contenant ce prononcé adressé à X.________, [...], à Lausanne, et retourné par La Poste avec la mention "A déménagé. Délai de réexpédition expiré", attendu que le recours, déposé dans le délai de motivation (art. 54 al. 1 et 3 LVLP, loi vaudoise d'application de la loi fédérale sur la poursuite pour dettes et la faillite du 18 mai 1955, RSV 280.05), a été exercé en temps utile, qu'en revanche, il ne comporte aucune conclusion en réforme ou en nullité ni aucun moyen de recours reconnaissable contre la décision au sens de l'art. 461 CPC  (Code de procédure civile du canton de Vaud du 14 décembre 1966, RSV 270.11), applicable par le renvoi de l'art. 58 al. 1 LVLP, que par courrier recommandé du 1 er mars 2010, le président de la cour de céans, en application de l'art. 17 CPC, a renvoyé son acte à X.________ à l'adresse [...], à Lausanne, et lui a imparti un délai de cinq jours dès réception pour le refaire en précisant ses conclusions et notamment le montant exact – en chiffres – qu'elle réclamait, contestait ou reconnaissait devoir, que cet avis indiquait que si le nouvel acte de recours n'était pas produit dans le délai imparti, le recours pourrait être déclaré irrecevable, que le pli recommandé contenant l'avis précité a été retourné par La Poste au greffe de la cour de céans avec la mention "A déménagé. Délai de réexpédition expiré"; que, lorsqu'un procès est ouvert, il incombe à la partie de communiquer au greffe ses changements d'adresse, la communication à la dernière adresse indiquée étant valable (Poudret/Haldy/Tappy, Procédure civile vaudoise, 3 ème éd., n. 1 ad art. 22 CPC), qu'il appartenait donc à la recourante, qui avait reçu le dispositif de la décision attaquée à son ancienne adresse et avait indiqué celle-ci sur son acte de recours, de communiquer sa nouvelle adresse, qu'en l'absence d'une telle indication, le courrier du 1 er mars 2010 est censé lui avoir été valablement communiqué le lendemain, que la recourante n'y a donné aucune suite dans le délai imparti, que faute de comporter des conclusions conformes aux exigences de la procédure, le recours du 30 novembre 2009 est irrecevable et doit être écarté, le prononcé attaqué étant maintenu (art. 464 CPC),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avril 2010 L'arrêt qui précède, dont la rédaction a été approuvée à huis clos, prend date de ce jour. Il est notifié, par l'envoi de photocopies, à : ‑ Mme X.________, ‑ M. Serge Maret, agent d'affaires breveté (pour Q.________ SA). La Cour des poursuites et faillites considère que la valeur litigieuse est de 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