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56 vom 21. Januar 2010</w:t>
      </w:r>
    </w:p>
    <w:p>
      <w:r>
        <w:t>VD Tribunal cantonal, 2010-01-21, FR</w:t>
      </w:r>
    </w:p>
    <w:p>
      <w:r>
        <w:rPr>
          <w:b/>
        </w:rPr>
        <w:t xml:space="preserve">Quelle: </w:t>
      </w:r>
      <w:r>
        <w:t>https://mcp.opencaselaw.ch/entscheid/vd_findinfo_ML___2010___56</w:t>
      </w:r>
    </w:p>
    <w:p>
      <w:r>
        <w:t>FR: VD_FINDINFO ML / 2010 / 56 du 21 janvier 2010</w:t>
      </w:r>
    </w:p>
    <w:p>
      <w:r>
        <w:t>IT: VD_FINDINFO ML / 2010 / 56 del 21 gennaio 2010</w:t>
      </w:r>
    </w:p>
    <w:p>
      <w:pPr>
        <w:pStyle w:val="Heading2"/>
      </w:pPr>
      <w:r>
        <w:t>Regeste</w:t>
      </w:r>
    </w:p>
    <w:p>
      <w:r>
        <w:t>DÉPENS, QUALITÉ POUR RECOURIR | 62 OELP</w:t>
      </w:r>
    </w:p>
    <w:p>
      <w:pPr>
        <w:pStyle w:val="Heading2"/>
      </w:pPr>
      <w:r>
        <w:t>Erwägungen</w:t>
      </w:r>
    </w:p>
    <w:p>
      <w:r>
        <w:rPr>
          <w:b/>
        </w:rPr>
        <w:t>E. 1</w:t>
      </w:r>
    </w:p>
    <w:p>
      <w:r>
        <w:t>er septembre 2005/298) et non à titre de remboursement des frais de justice. La partie qui succombe doit en principe indemniser la partie qui obtient gain de cause (Eugster, op. cit. n. 5 ad art. 62 OELP). En l'espèce, le recours n'émane cependant pas de A.H.________, poursuivante et requérante de la mainlevée, mais de son conseil personnellement, l'avocat S.________, qui conclut dès lors à l'augmentation des dépens alloués à sa cliente ou à l'annulation du prononcé. Pour légitimer sa position de recourant, il invoque le principe de la distraction des dépens prévu à l'art. 46 LPAv (loi du 24 septembre 2002 sur la profession d'avocat, RSV 177.11) . Intitulée « Droit aux honoraires et débours alloués par jugement / a) principe », cette disposition a la teneur suivante : « L'avocat a un droit personnel exclusif aux honoraires et débours qui sont alloués par le jugement ou l'arrêt à titre de dépens, sous réserve de règlement de compte avec son client ». La distraction des dépens constitue une cession légale à l'avocat des droits de son mandant contre la partie adverse (TF, 4P_225/1999 du 9 février 2000, cons. 1 ; Piotet, La distraction des dépens par l'avocat et le droit fédéral, in L'avocat moderne, Mélanges publiés par l'Ordre des avocats vaudois à l'occasion de son centenaire, 1998, pp. 157 à 166; CPF, R. c. M., 13 juin 2002/234). La distraction des dépens confère ainsi à l'avocat le droit de poursuivre directement, en son propre nom et pour son propre compte, la créance de dépens allouée à son client à l'encontre de la partie adverse (Hohl, Procédure civile, tome II, Berne 2002, n. 1980). C'est en conséquence à la partie victorieuse qu'échoit la créance en dépens (Bohnet/Martenet, Droit de la profession d'avocat, Berne 2009, n. 3306) et ce n'est que lorsque la créance en dépens est définitivement déterminée que sa distraction (cession légale) en faveur de l'avocat peut être activée. En revanche, dans la phase antérieure du litige portant sur le principe et le montant des dépens, soit avant qu'un jugement ou un arrêt n'alloue définitivement cette créance, sa distraction en faveur de l'avocat est impossible, comme l'exprime d'ailleurs le texte de l'art. 46 LPAv. L'art. 92 al. 1 CPC dispose que les dépens sont alloués à la partie qui a obtenu l'adjudication de ses conclusions. Le recours sur les dépens aménagé à l'art. 94 CPC est ouvert à la partie selon le régime usuel de l'art. 443 al. 1 CPC qui réserve la qualité de recourant aux parties et non à des tiers ayant un intérêt à l'issue de la cause. L'avocat S.________ n'ayant personnellement pas la qualité pour recourir, A.H.________ ne l'ayant ni mandaté pour recourir contre l'allocation des dépens ni n'ayant ratifié ultérieurement son acte, le recours doit être déclaré irrecevable. III. Le recours étant irrecevable, le recourant supportera les frais de la cause. L'intimé n'ayant pas procédé,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