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47 vom 5. März 2010</w:t>
      </w:r>
    </w:p>
    <w:p>
      <w:r>
        <w:t>VD Tribunal cantonal, 2010-03-05, FR</w:t>
      </w:r>
    </w:p>
    <w:p>
      <w:r>
        <w:rPr>
          <w:b/>
        </w:rPr>
        <w:t xml:space="preserve">Quelle: </w:t>
      </w:r>
      <w:r>
        <w:t>https://mcp.opencaselaw.ch/entscheid/vd_findinfo_ML___2010___47</w:t>
      </w:r>
    </w:p>
    <w:p>
      <w:r>
        <w:t>FR: VD_FINDINFO ML / 2010 / 47 du 5 mars 2010</w:t>
      </w:r>
    </w:p>
    <w:p>
      <w:r>
        <w:t>IT: VD_FINDINFO ML / 2010 / 47 del 5 marzo 2010</w:t>
      </w:r>
    </w:p>
    <w:p>
      <w:pPr>
        <w:pStyle w:val="Heading2"/>
      </w:pPr>
      <w:r>
        <w:t>Regeste</w:t>
      </w:r>
    </w:p>
    <w:p>
      <w:r>
        <w:t>OBLIGATION DE CHIFFRER LES CONCLUSIONS | 17 CPC</w:t>
      </w:r>
    </w:p>
    <w:p>
      <w:pPr>
        <w:pStyle w:val="Heading2"/>
      </w:pPr>
      <w:r>
        <w:t>Volltext</w:t>
      </w:r>
    </w:p>
    <w:p>
      <w:r>
        <w:t>Vaud Tribunal cantonal Cour des poursuites et faillites 05.03.2010 ML / 2010 / 47</w:t>
      </w:r>
    </w:p>
    <w:p>
      <w:r>
        <w:t>OBLIGATION DE CHIFFRER LES CONCLUSIONS | 17 CPC</w:t>
      </w:r>
    </w:p>
    <w:p>
      <w:r>
        <w:t>TRIBUNAL CANTONAL 116 Cour des poursuites et faillites ________________________________________________ Arrêt du 5 mars 2010 _________________ Présidence de   M. Hack , vice-président Juges : MM.     Denys et  Sauterel Greffier : Mme   Joye ***** Art. 58 LVLP; 17 et 461 CPC Vu le prononcé de mainlevée rendu le 3 décembre 2009, à la suite de l'audience du 1 er décembre 2009, par le Juge de paix du district de Lavaux-Oron dans la cause opposant L.________ , à Belmont-sur-Lausanne, à Q.________ , à Bougy-Villars (poursuite n° 5'154'313 de l'Office des poursuites de l'arrondissement de Lausanne-Est), vu le courrier de L.________ daté du 4 décembre 2009, posté le lendemain, valant demande de motivation, vu le prononcé motivé adressé pour notification aux parties le 11 janvier 2010, vu la lettre de L.________ du 18 janvier 2010, accompagné d'un lot de pièces, dans laquelle celle-ci expose le différend qui l'oppose à l'intimé ; attendu que le recours contre la décision rendue par le juge de première instance en procédure sommaire doit être déposé dans les dix jours dès la communication du dispositif (art. 54 LP) ou du prononcé motivé (art. 57 al. 1 LP), que les écritures déposées par L.________ les 4 décembre 2009 et 18 janvier 2010 l'ont été à temps, que celles-ci ne comportent toutefois aucune conclusion en réforme ou en nullité ni aucun moyen de recours reconnaissable contre la décision de mainlevée, comme le prescrit l'art. 461 CPC, que le prononcé était accompagné d'un avis indiquant que le dépôt d'un recours dans le délai de demande de motivation était censé comprendre une demande de motivation,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 applicable par le renvoi de l'art. 58 al. 1 LVLP), que l'avis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lettre recommandée du 3 février 2010, le président de la cour de céans, en application de l'art. 17 CPC, a imparti à la recourante un délai de cinq jours pour refaire son acte, en précisant le montant exact qu'elle réclamait, contestait devoir ou reconnaissait devoir, faute de quoi le recours pourrait être déclaré irrecevable, que le 8 février 2010, L.________ a déposé un acte intitulé « Requête de l'annulation du jugement des 5 mai 09 et 3 décembre 09 par la Justice de Paix, et d'ouverture d'action » au pied duquel elle a conclu qu'il soit prononcé que « Q.________ est débiteur de L.________ d'un montant de fr. 3'729.- (…) plus intérêt à 5 % l'an dès le 3 décembre 2009 et qu'il lui doit immédiat paiement de susdite somme » et « qu'en conséquence, l'affaire entre Q.________ et L.________ est radiée », que de telles conclusions en paiement sortent du cadre de la procédure de mainlevée et ne sont par conséquent pas recevables dans la présente procédure, qu'on ne discerne dans l'écriture de la recourante aucune conclusion véritablement dirigée contre le prononcé de mainlevée du 3 décembre 2009, la recourante discutant plutôt des éléments du litige l'opposant à sa partie adverse, ce qu'elle n'est plus habilitée à faire au stade de la mainlevée définitive, que son recours doit ainsi être déclaré irrecevable ;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L'arrêt qui précède, dont la rédaction a été approuvée à huis clos, prend date de ce jour. Il est notifié, par l'envoi de photocopies, à : ‑      Mme L.________, ‑      M. Jean-Daniel Nicaty, agent d'affaires breveté (pour Q.________). La Cour des poursuites et faillites considère que la valeur litigieuse est de 85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