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39 vom 16. März 2010</w:t>
      </w:r>
    </w:p>
    <w:p>
      <w:r>
        <w:t>VD Tribunal cantonal, 2010-03-16, FR</w:t>
      </w:r>
    </w:p>
    <w:p>
      <w:r>
        <w:rPr>
          <w:b/>
        </w:rPr>
        <w:t xml:space="preserve">Quelle: </w:t>
      </w:r>
      <w:r>
        <w:t>https://mcp.opencaselaw.ch/entscheid/vd_findinfo_ML___2010___39</w:t>
      </w:r>
    </w:p>
    <w:p>
      <w:r>
        <w:t>FR: VD_FINDINFO ML / 2010 / 39 du 16 mars 2010</w:t>
      </w:r>
    </w:p>
    <w:p>
      <w:r>
        <w:t>IT: VD_FINDINFO ML / 2010 / 39 del 16 marzo 2010</w:t>
      </w:r>
    </w:p>
    <w:p>
      <w:pPr>
        <w:pStyle w:val="Heading2"/>
      </w:pPr>
      <w:r>
        <w:t>Regeste</w:t>
      </w:r>
    </w:p>
    <w:p>
      <w:r>
        <w:t>OBLIGATION DE CHIFFRER LES CONCLUSIONS, DÉCISION D'IRRECEVABILITÉ, ACTE DE RECOURS | 17 CPC, 461 CPC, 464 CPC</w:t>
      </w:r>
    </w:p>
    <w:p>
      <w:pPr>
        <w:pStyle w:val="Heading2"/>
      </w:pPr>
      <w:r>
        <w:t>Volltext</w:t>
      </w:r>
    </w:p>
    <w:p>
      <w:r>
        <w:t>Vaud Tribunal cantonal Cour des poursuites et faillites 16.03.2010 ML / 2010 / 39</w:t>
      </w:r>
    </w:p>
    <w:p>
      <w:r>
        <w:t>OBLIGATION DE CHIFFRER LES CONCLUSIONS, DÉCISION D'IRRECEVABILITÉ, ACTE DE RECOURS | 17 CPC, 461 CPC, 464 CPC</w:t>
      </w:r>
    </w:p>
    <w:p>
      <w:r>
        <w:t>TRIBUNAL CANTONAL 119 Cour des poursuites et faillites ________________________________________________ Arrêt du 16 mars 2010 __________________ Présidence de   M. Muller , président Juges : MM.     Hack et  Sauterel Greffier : Mme   Nüssli ***** Art. 58 al. 1 LVLP, 17, 461 et 464 CPC Vu le prononcé de mainlevée définitive rendu le 21 octobre 2009 par le Juge de paix du district de Nyon dans la poursuite n° 5'075'433 de l'Office des poursuites de l'arrondissement Nyon-Rolle exercée contre H.________ , à Saint-Cergue, à l'instance de la CONFEDERATION SUISSE , représentée par l' Office d'impôt des districts de Lausanne et Ouest lausannois , vu le recours formé le 31 octobre 2009 par le poursuivi contre ce prononcé, vu le prononcé motivé adressé pour notification aux parties le 16 novembre 2009; attendu que le recours, déposé dans le délai de demande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de mainlevée, au sens de l'art. 461 CPC (Code de procédure civile du 14 décembre 1966; RSV 270.11) applicable par le renvoi de l'art. 58 al. 1 LVLP, que, par courrier recommandé du 15 janvier 2010 avec accusé de réception, le président de la cour de céans, en application de l'art. 17 CPC,  a renvoyé son acte à H.________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que tel est bien le cas en l'espèce puisque H.________, qui a contesté le prononcé du juge de paix, devait s'attendre à recevoir un pli des autorités judiciaires, que l'intéressé n'a donné aucune suite dans le délai imparti à l'avis du 15 janvier 2010, que, faute de comporter des conclusions conformes aux exigences de la procédure, le recours du 31 octobre 2009 est irrecevable et doit être écarté, le prononcé attaqué étant maintenu (art. 464 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L'arrêt qui précède, dont la rédaction a été approuvée à huis clos, prend date de ce jour. Il est notifié, par l'envoi de photocopies, à : ‑      M. H.________, ‑      Office d'impôt des districts de Lausanne et Ouest lausannois (pour Confédération Suisse). La Cour des poursuites et faillites considère que la valeur litigieuse est de 320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