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222 vom 2. September 2010</w:t>
      </w:r>
    </w:p>
    <w:p>
      <w:r>
        <w:t>VD Tribunal cantonal, 2010-09-02, FR</w:t>
      </w:r>
    </w:p>
    <w:p>
      <w:r>
        <w:rPr>
          <w:b/>
        </w:rPr>
        <w:t xml:space="preserve">Quelle: </w:t>
      </w:r>
      <w:r>
        <w:t>https://mcp.opencaselaw.ch/entscheid/vd_findinfo_ML___2010___222</w:t>
      </w:r>
    </w:p>
    <w:p>
      <w:r>
        <w:t>FR: VD_FINDINFO ML / 2010 / 222 du 2 septembre 2010</w:t>
      </w:r>
    </w:p>
    <w:p>
      <w:r>
        <w:t>IT: VD_FINDINFO ML / 2010 / 222 del 2 settembre 2010</w:t>
      </w:r>
    </w:p>
    <w:p>
      <w:pPr>
        <w:pStyle w:val="Heading2"/>
      </w:pPr>
      <w:r>
        <w:t>Regeste</w:t>
      </w:r>
    </w:p>
    <w:p>
      <w:r>
        <w:t>MAINLEVÉE{LP}, COURS DE CONVERSION, JOUR DÉTERMINANT, RÉQUISITION DE POURSUITE, MONNAIE ÉTRANGÈRE | 82 LP</w:t>
      </w:r>
    </w:p>
    <w:p>
      <w:pPr>
        <w:pStyle w:val="Heading2"/>
      </w:pPr>
      <w:r>
        <w:t>Erwägungen</w:t>
      </w:r>
    </w:p>
    <w:p>
      <w:r>
        <w:rPr>
          <w:b/>
        </w:rPr>
        <w:t>E. 6</w:t>
      </w:r>
    </w:p>
    <w:p>
      <w:r>
        <w:t>juillet 2009. Ces documents portent sur une créance en euros. On a donc affaire à des montants en devise étrangère. A teneur de l'art. 67 al. 1 ch. 3 LP, la réquisition de poursuite adressée à l'office énonce le montant de la créance en valeur légale suisse. La conversion se fait au cours de l'offre des devises du jour de la réquisition de poursuite (ATF 51 III 180 c. 4 ; ATF 135 III 88 c. 4.1). Le taux de conversion constitue un fait notoire que le juge doit prendre en compte d'office (ATF 135 III 88 c. 4.1 précité). Encore faut-il que le juge connaisse le jour de la réquisition de poursuite, puisque c'est à cette date que la conversion intervient. En l'espèce, l'intimée n'a pas produit sa réquisition de poursuite et on ignore à quelle date elle est intervenue. La date apposée sur le commandement de payer ne correspond pas à la date de la réquisition de poursuite mais à celle où l'office des poursuites a établi le commandement de payer. En vertu de l'art. 69 al. 1 LP, dès réception de la réquisition de poursuite, l'office rédige le commandement de payer. Il faut déduire de cette disposition que l'établissement du commandement de payer doit se faire aussi vite que possible (Ruedin, Commentaire romand, n. 8 ad art. 69 et n. 1 ad art. 71 LP). Un certain laps de temps est toutefois susceptible de s'écouler entre la réception de la réquisition de poursuite et l'établissement du commandement de payer. Il est ainsi exclu de pouvoir considérer que la date qui figure sur le commandement de payer est identique à celle de la réquisition de poursuite. Dès lors que l'intimé n'a pas établi la date de sa réquisition de poursuite, il est impossible de savoir quelle est la date déterminante pour le taux de change, la conversion devant se faire selon la jurisprudence précitée au cours du jour de la réquisition de poursuite. Le montant pour lequel la mainlevée pourrait être prononcée n'est donc pas déterminable, faute de savoir quel taux de change prendre en compte, ce qui dépend du jour pertinent. La mainlevée doit ainsi être refusée. La rigueur de cette solution est tempérée par le fait que la jurisprudence vaudoise autorise le poursuivant à renouveler sa requête de mainlevée, nonobstant un premier prononcé la rejetant, dans la même poursuite aussi longtemps que celle-ci n'est pas périmée, en produisant de nouvelles pièces (CPF, 6 août 2009/246 ; 17 décembre 2009/442). L'intimée pourra ainsi, le cas échéant, requérir à nouveau la mainlevée en produisant toutes les pièces utiles. IV. Le recours est donc admis et le prononcé attaqué réformé en ce sens que l’opposition est maintenue. Les frais de première instance de la poursuivante sont arrêtés à 1'800 francs. La poursuivante doit verser au poursuivi la somme de 1'000 fr. à titre de dépens de première instance. Les frais de deuxième instance du recourant sont arrêtés à 1'825 fr. et l'intimée doit lui verser la somme de 3'825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