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19 vom 10. Februar 2010</w:t>
      </w:r>
    </w:p>
    <w:p>
      <w:r>
        <w:t>VD Tribunal cantonal, 2010-02-10, FR</w:t>
      </w:r>
    </w:p>
    <w:p>
      <w:r>
        <w:rPr>
          <w:b/>
        </w:rPr>
        <w:t xml:space="preserve">Quelle: </w:t>
      </w:r>
      <w:r>
        <w:t>https://mcp.opencaselaw.ch/entscheid/vd_findinfo_ML___2010___19</w:t>
      </w:r>
    </w:p>
    <w:p>
      <w:r>
        <w:t>FR: VD_FINDINFO ML / 2010 / 19 du 10 février 2010</w:t>
      </w:r>
    </w:p>
    <w:p>
      <w:r>
        <w:t>IT: VD_FINDINFO ML / 2010 / 19 del 10 febbraio 2010</w:t>
      </w:r>
    </w:p>
    <w:p>
      <w:pPr>
        <w:pStyle w:val="Heading2"/>
      </w:pPr>
      <w:r>
        <w:t>Regeste</w:t>
      </w:r>
    </w:p>
    <w:p>
      <w:r>
        <w:t>MAINLEVÉE PROVISOIRE, TITRE DE MAINLEVÉE | 82 LP</w:t>
      </w:r>
    </w:p>
    <w:p>
      <w:pPr>
        <w:pStyle w:val="Heading2"/>
      </w:pPr>
      <w:r>
        <w:t>Volltext</w:t>
      </w:r>
    </w:p>
    <w:p>
      <w:r>
        <w:t>Vaud Tribunal cantonal Cour des poursuites et faillites 10.02.2010 ML / 2010 / 19</w:t>
      </w:r>
    </w:p>
    <w:p>
      <w:r>
        <w:t>MAINLEVÉE PROVISOIRE, TITRE DE MAINLEVÉE | 82 LP</w:t>
      </w:r>
    </w:p>
    <w:p>
      <w:r>
        <w:t>TRIBUNAL CANTONAL 67 Cour des poursuites et faillites ________________________________________________ Arrêt du 10 février 2010 __________________ Présidence de   M. Muller , président Juges : MM.     Bosshard et Sauterel Greffier : Mme   Nüssli ***** Art. 82 LP Vu le prononcé rendu  le  11 septembre 2009, à la suite de l'audience du 10 septembre 2009, par le Juge de paix du district de Morges, levant provisoirement, à concurrence de 550'000 fr., plus intérêt au taux de 10 % l'an dès le 16 avril 2009, l'opposition formée par Y.________ , à Lonay, au commandement de payer qui lui a été notifié le 14 juillet 2009, dans la poursuite n° 5'098'212 de l'Office des poursuites de l'arrondissement de Morges-Aubonne, introduite à la requête d' A.________ , à Genève, indiquant comme titre de la créance : "Reconnaissance de dette du 25 février 2009", vu les motifs de cette décision  notifiés aux parties le 2 octobre 2009, vu le recours déposé le 12 octobre 2009 par Y.________, vu l'écriture complémentaire déposée le 14 janvier 2010 par le recourant, vu les pièces du dossier; attendu que le prononcé motivé a été notifié au recourant le 2 octobre 2009, de sorte que son recours du 12 octobre a été déposé en temps utile (art. 57 al. 1 LVLP; loi d'application dans le canton de Vaud de la loi fédérale sur la poursuite pour dettes et la faillite du 18 mai 1955, RSV 280.05), que le recourant a conclu principalement à la réforme du prononcé dans le sens du maintien de l'opposition et subsidiairement à sa nullité, cette seconde conclusion ayant toutefois été retirée dans son écriture complémentaire, que le recours est ainsi recevable formellement (art. 461 CPC, Code de procédure civile du canton de Vaud du 14 décembre 1966, RSV 270.11, applicable par le renvoi de l'art. 58 al. 1 LVLP); attendu qu'à l'appui de sa requête de mainlevée du 17 juillet 2009 le poursuivant a produit le commandement de payer ainsi qu'une reconnaissance de dette ainsi rédigée : "Je soussigné Y.________ né le 7.10.1959 à Gap (05) France, atteste par la présente devoir à M. A.________ la somme de 550'000 (cinq cent cinquante mille CHF) payable au plus tard le 15 avril 2009. Tout retard portera intérêt au taux de 10 %/an. Ceci vaut reconnaissance de dettes. Fait à Genève le 25.02.09 (signature)"; considérant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de dette l'acte d'où résulte la volonté du poursuivi de payer au poursuivant une somme d'argent déterminée et échue, sans  réserve ni condition (ATF 132 III 480, JT 2007 II 75; Gilliéron, Commentaire de la loi fédérale sur la poursuite pour dettes et la faillite, n. 29 ad art. 82 LP), qu'en l'espèce, force est de constater, avec le premier juge, que la reconnaissance de dette signée le 25 février 2009 par le recourant vaut titre de mainlevée au sens de l'art. 82 al. 1 LP, que le recourant ne justifie d'aucun moyen libératoire, que c'est donc à juste titre que le premier juge a prononcé la mainlevée provisoire; considérant que le prononcé attaqué échappe à toute critique et ne peut qu'être confirmé par adoption de motifs, que le recours doit être rejeté en application de l'art. 465 al. 1 CPC et le prononcé maintenu, que les frais du présent arrêt, par 1'200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1'200 francs (mille deux cents francs). IV. L'arrêt est exécutoire. L e président : L a greffi ère : Du 10 février 2010 L'arrêt qui précède, dont la rédaction a été approuvée à huis clos, prend date de ce jour. Il est notifié, par l'envoi de photocopies, à : ‑      Me Olivier Righetti, avocat (pour Y.________), ‑      Me Marc Isserles, avocat (pour A.________). La Cour des poursuites et faillites considère que la valeur litigieuse est de 550'000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