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179 vom 18. März 2010</w:t>
      </w:r>
    </w:p>
    <w:p>
      <w:r>
        <w:t>VD Tribunal cantonal, 2010-03-18, FR</w:t>
      </w:r>
    </w:p>
    <w:p>
      <w:r>
        <w:rPr>
          <w:b/>
        </w:rPr>
        <w:t xml:space="preserve">Quelle: </w:t>
      </w:r>
      <w:r>
        <w:t>https://mcp.opencaselaw.ch/entscheid/vd_findinfo_ML___2010___179</w:t>
      </w:r>
    </w:p>
    <w:p>
      <w:r>
        <w:t>FR: VD_FINDINFO ML / 2010 / 179 du 18 mars 2010</w:t>
      </w:r>
    </w:p>
    <w:p>
      <w:r>
        <w:t>IT: VD_FINDINFO ML / 2010 / 179 del 18 marzo 2010</w:t>
      </w:r>
    </w:p>
    <w:p>
      <w:pPr>
        <w:pStyle w:val="Heading2"/>
      </w:pPr>
      <w:r>
        <w:t>Regeste</w:t>
      </w:r>
    </w:p>
    <w:p>
      <w:r>
        <w:t>COTISATION AVS/AI/APG, DÉCISION DE COTISATIONS, MAINLEVÉE DÉFINITIVE | 97 LAVS, 80 LP, 52 LPGA, 54 LPGA, 34a RAVS, 81 al. 1 RAVS</w:t>
      </w:r>
    </w:p>
    <w:p>
      <w:pPr>
        <w:pStyle w:val="Heading2"/>
      </w:pPr>
      <w:r>
        <w:t>Volltext</w:t>
      </w:r>
    </w:p>
    <w:p>
      <w:r>
        <w:t>Vaud Tribunal cantonal Cour des poursuites et faillites 18.03.2010 ML / 2010 / 179</w:t>
      </w:r>
    </w:p>
    <w:p>
      <w:r>
        <w:t>COTISATION AVS/AI/APG, DÉCISION DE COTISATIONS, MAINLEVÉE DÉFINITIVE | 97 LAVS, 80 LP, 52 LPGA, 54 LPGA, 34a RAVS, 81 al. 1 RAVS</w:t>
      </w:r>
    </w:p>
    <w:p>
      <w:r>
        <w:t>TRIBUNAL CANTONAL 136 Cour des poursuites et faillites ________________________________________________ Séance du 18 mars 2010 ____________________ Présidence de               M. Muller , président Juges :              M. Bosshard et M. Vallat, juge suppléant Greffier : M.              Berthoud, greffier ad hoc ***** Art. 80 LP La Cour des poursuites et faillites du Tribunal cantonal, statuant en audience publique en sa qualité d'autorité de recours en matière sommaire de poursuites et faillites, s'occupe du recours exercé par la B.________ , à Paudex, contre le prononcé rendu le 2 juillet 2009, à la suite de l’audience du 25 juin 2009, par le Juge de paix du district de La Broye-Vully dans la cause opposant la recourante à Y.________ SArl , à Payerne. Vu les pièces au dossier, la cour considère : En fait : 1. a) Par bulletin du 8 septembre 2004, Y.________ Sàrl a adhéré à la K.________, à la B.________ et à la R.________. L’adhérente a déclaré employer trois personnes pour des salaires annuels totaux de 140'000 francs. Par facture du 8 juillet 2008, la B.________ a réclamé à Y.________ Sàrl le paiement des cotisations du mois de juillet 2008 (1’288 fr. 20 pour les cotisations AVS/AI/APG et 255 fr. 10 pour les cotisations AC), comprenant également les frais de gestion par 23 fr. et les cotisations aux allocations familiales par 248 fr. 70 (montant total de 1'815 francs). Le 2 septembre 2008, la caisse a dressé un rappel valant décision de sommation selon l'art. 34a RAVS. Elle a mis à charge de la société un émolument de 200 fr. et mentionné à la rubrique « Moyens de droit » la possibilité de former opposition contre le prélèvement de la taxe de sommation auprès de la Caisse, sous forme écrite, motivée et comportant des conclusions, dans un délai de trente jours dès la notification. b) Par commandement de payer notifié le 21 novembre 2008 dans le cadre de la poursuite n o 508’993 de l'Office des poursuites de Payerne-Avenches, la B.________ a requis d’Y.________ Sàrl le paiement des sommes de 1) 1'566 fr. 30 plus intérêt à 5 % l’an dès le 1 er août 2008, et 2) 448 fr. 70 sans intérêt, plus 70 fr. de frais de commandement de payer et 10 fr. 10 de frais d'encaissement, indiquant comme cause de l'obligation : « PRIVILEGE LEGAL REQUIS 1) - 2) Cotisations pa 07.2008 selon facture du 08.07.2008 et sommation du 02.09.2008. » La poursuivie a formé opposition totale. Par requête du 30 avril 2009, la poursuivante a requis sous suite de dépens : · la mainlevée définitive de l’opposition à hauteur de 1'598 fr. 80 représentant les cotisations paritaires AVS/AI/APG (1'288 fr. 20) et AC (255 fr. 10), les frais de gestion de la caisse (23 fr.) et les frais de sommation par 200 francs ; · la mainlevée définitive pour les intérêts moratoires dès le 1 er août 2008 sur les cotisations, le capital sur lequel les intérêts étaient calculés s’élevant à 1'566 francs 30 ; · la mainlevée provisoire pour le montant de 248 fr. 70 représentant les cotisations dues à la caisse d’allocations familiales. Cette requête comportait notamment le passage suivant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 La requête de mainlevée indiquait en post-scriptum qu’il y avait lieu de tenir compte d’une note de crédit en faveur de la poursuivie de 167 fr. 50, valeur au 20 mars 2009. 2. Par prononcé du 2 juillet 2009, le Juge de paix du district de La Broye-Vully a définitivement levé l’opposition à hauteur de 1'566 fr. 30 plus intérêt à 5 % l’an dès le 1 er août 2008, et provisoirement levé l’opposition à hauteur de 248 fr. 70 sans intérêt. Il a mis les frais, par 150 fr., à charge de la poursuivante et alloué à cette dernière la somme de 150 fr. à titre de dépens. Par acte du 3 juillet 2009, la poursuivante a requis la motivation du prononcé. Les motifs ont été expédiés le 8 octobre 2009. En bref, le premier juge a considéré que la mainlevée devait être rejetée pour la somme de 200 fr., dès lors qu’un rappel, même assorti des voies de recours ou d’opposition, ne pouvait être assimilé à une décision au sens de l’art. 80 al. 2 LP dès lors qu’elle n’était pas définitive et que sa teneur ne permettait pas à son destinataire de comprendre qu’à défaut d’opposition ou de recours, elle équivaudrait à un jugement. Par acte directement motivé du 14 octobre 2009, la poursuivante a recouru contre ce prononcé, concluant à sa réforme en ce sens que l'opposition à la poursuite est levée conformément à la requête du 30 avril 2009 . La recourante a renoncé à déposer un mémoire ampliatif. L’intimée n’a pas procédé.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sur la partie générale des assurances sociales, RS 830.1) , les décisions et les décisions sur opposition sont exécutoires lorsqu'elles ne peuvent plus être attaquées par une opposition ou un recours (lettre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X. c. P., 12 décembre 2002/513, c. lIa). Une décision de réparation qui n'a pas été frappée d'opposition dans le délai de trente jours dès sa notification devient ainsi définitive et exécutoire, conformément à l'art. 97 al. 1 LAVS (loi fédérale du 20 décembre 1946 sur l’assurance-vieillesse et survivants, RS 831.10), article dont l'al. 4 précise que les décisions des caisses de compensation qui portent sur une prestation pécuniaire sont assimilées aux jugements exécutoires au sens de l'art. 80 LP (CPF, Caisse AVS C. c. S., 28 août 1997/414). b) Le montant de 200 fr. sans intérêt pour lequel la recourante conclut également à l'octroi de la mainlevée définitive correspond à l'émolument indiqué dans la décision de sommation du 2 septembre 2008.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En l'espèce, la recourante a clairement présenté son rappel comme une décision, laquelle comporte des voies de recours. On doit dès lors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Caisse X. c. B. SA, 20 septembre 2007/339 ; CPF, Caisse X. c. H. P. SA, 29 mai 2008/232). Ce n’était pas le cas dans l’affaire citée par le premier juge (CPF, Caisse X. c. B. M. SA, 23 mars 2006/107), où les frais étaient soumis à une condition, de sorte que la poursuivie ne pouvait pas comprendre qu’il s’agissait d’une décision exécutoire. La décision de sommation du 2 septembre 2008 vaut ainsi titre de mainlevée définitive pour la somme de 200 fr., sans intérêt. c)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poursuivante, qui requérait la mainlevée définitive sur la base de deux décisions expressément désignées dans sa requête et jointes à celle-ci, savoir la facture du 8 juillet 2008 et la décision de sommation du 2 septembre 2008, a indiqué dans cette même requête :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 La décision de sommation pouvant faire l'objet d'une opposition au sens de l'art. 52 LPGA, l'autorité habilitée à attester de l'absence d'opposition, partant du caractère exécutoire de la décision, était la poursuivante elle-même. Compte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(CPF, Caisse X. c. C. L. SA, 30 octobre 2008/517). En réclamant la mainlevée définitive à concurrence de 1’598 fr. 80, la recourante a déjà opéré la déduction de la note de crédit de 167 fr. 50, de sorte que les conclusions de la requête peuvent lui être accordées telles qu’elle les a requises. III. En conséquence, le recours doit être admis et le prononcé entrepris réformé en ce sens que l'opposition est définitivement levée à concurrence de 1'598 fr. 80 plus intérêt à 5 % l'an dès le 1 er août 2008 sur 1’566 fr. 30, et provisoirement levée à concurrence de 248 fr. 70 sans intérêt. Les frais de première instance, par 150 fr., sont mis à la charge de la poursuivante. La poursuivie doit payer à la poursuivante la somme de 150 fr. à titre de dépens de première instance. Les frais de deuxième instance, par 135 fr., sont mis à la charge de la recourante. L’intimée doit payer la somme de 135 fr. à la recourante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Y.________ Sàrl au commandement de payer n° 508’993 de l’Office des poursuites de Payerne-Avenches, notifié à la réquisition de la B.________, est définitivement levée à concurrence de 1’598 fr. 80 (mille cinq cent nonante-huit francs et huitante centimes) plus intérêt à 5 % l’an dès le 1 er août 2008 sur 1'566 fr. 30 (mille cinq cent soixante-six francs et trente centimes) et provisoirement levée à concurrence de 248 fr. 70 (deux cent quarante-huit francs et septante centimes) sans intérêt. Les frais de première instance de la poursuivante sont arrêtés à 150 fr. (cent cinquante francs). La poursuivie Y.________ Sàrl doit verser à la poursuivante B.________ la somme de 150 fr. (cent cinquante francs) à titre de dépens de première instance. III. Les frais de deuxième instance de la recourante sont arrêtés à 135 fr. (cent trente-cinq francs). IV. L’intimée Y.________ Sàrl doit verser à la recourante B.________ la somme de 135 fr. (cent trente-cinq francs) à titre de dépens de deuxième instance. V. L’arrêt motivé est exécutoire. Le président :               Le greffier : Du 18 mars 2010 Le dispositif de l'arrêt qui précède est communiqué par écrit aux intéressés. Le greffier : Du 18 juin 2010 L'arrêt qui précède, dont la rédaction a été approuvée à huis clos, est notifié en expédition complète, par l'envoi de photocopies, à : ‑ B.________, - Y.________ Sàrl. La Cour des poursuites et faillites considère que la valeur litigieuse est de 200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