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2010 / 171 vom 10. Februar 1993</w:t>
      </w:r>
    </w:p>
    <w:p>
      <w:r>
        <w:t>VD Tribunal cantonal, 1993-02-10, FR</w:t>
      </w:r>
    </w:p>
    <w:p>
      <w:r>
        <w:rPr>
          <w:b/>
        </w:rPr>
        <w:t xml:space="preserve">Quelle: </w:t>
      </w:r>
      <w:r>
        <w:t>https://mcp.opencaselaw.ch/entscheid/vd_findinfo_ML___2010___171</w:t>
      </w:r>
    </w:p>
    <w:p>
      <w:r>
        <w:t>FR: VD_FINDINFO ML / 2010 / 171 du 10 février 1993</w:t>
      </w:r>
    </w:p>
    <w:p>
      <w:r>
        <w:t>IT: VD_FINDINFO ML / 2010 / 171 del 10 febbraio 1993</w:t>
      </w:r>
    </w:p>
    <w:p>
      <w:pPr>
        <w:pStyle w:val="Heading2"/>
      </w:pPr>
      <w:r>
        <w:t>Regeste</w:t>
      </w:r>
    </w:p>
    <w:p>
      <w:r>
        <w:t>MAINLEVÉE DÉFINITIVE, RESPONSABILITÉ DE L'EMPLOYEUR{AVS}, PRESCRIPTION, ACTE DE DÉFAUT DE BIENS | 52 LAVS, 97 LAVS, 265 al. 1 LP, 80 LP, 81 LP, 54 al. 1 LPGA, 56 LPGA, 81 al. 1 RAVS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 octobre 1993 ne sont pas prescrites. III. En conséquence, le recours doit être très partiellement admis et la mainlevée prononcée à concurrence de 72'341 fr. 95 sans intérêt. L’opposition est maintenue pour le surplus. Les frais de première instance de la poursuivante sont arrêtés à 480 francs. Le poursuivi doit verser à la poursuivante la somme de 456 fr. à titre de dépens de première instance. Les frais d'arrêt du recourant sont fixés à 690 francs. Le recourant doit verser à l’intimée la somme de 655 fr. 50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