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11 vom 5. Februar 2010</w:t>
      </w:r>
    </w:p>
    <w:p>
      <w:r>
        <w:t>VD Tribunal cantonal, 2010-02-05, FR</w:t>
      </w:r>
    </w:p>
    <w:p>
      <w:r>
        <w:rPr>
          <w:b/>
        </w:rPr>
        <w:t xml:space="preserve">Quelle: </w:t>
      </w:r>
      <w:r>
        <w:t>https://mcp.opencaselaw.ch/entscheid/vd_findinfo_ML___2010___11</w:t>
      </w:r>
    </w:p>
    <w:p>
      <w:r>
        <w:t>FR: VD_FINDINFO ML / 2010 / 11 du 5 février 2010</w:t>
      </w:r>
    </w:p>
    <w:p>
      <w:r>
        <w:t>IT: VD_FINDINFO ML / 2010 / 11 del 5 febbraio 2010</w:t>
      </w:r>
    </w:p>
    <w:p>
      <w:pPr>
        <w:pStyle w:val="Heading2"/>
      </w:pPr>
      <w:r>
        <w:t>Regeste</w:t>
      </w:r>
    </w:p>
    <w:p>
      <w:r>
        <w:t>CONCLUSIONS, DÉCISION D'IRRECEVABILITÉ | 17 CPC</w:t>
      </w:r>
    </w:p>
    <w:p>
      <w:pPr>
        <w:pStyle w:val="Heading2"/>
      </w:pPr>
      <w:r>
        <w:t>Erwägungen</w:t>
      </w:r>
    </w:p>
    <w:p>
      <w:r>
        <w:rPr>
          <w:b/>
        </w:rPr>
        <w:t>E. 1</w:t>
      </w:r>
    </w:p>
    <w:p>
      <w:r>
        <w:t>LVLP), qu'en l'espèce, le recourant n'indique pas quelle(s) décision(s) du juge de paix il conteste, ses griefs étant dirigés uniquement contre l'autorité de taxation poursuivante, qu'il ne formule aucune conclusion en réforme et n'indique pas en quoi les décisions du premier juge seraient erronées au regard du droit des poursuites, qu'il n'invoque aucun des moyens de nullité exhaustivement énumérés à l'art. 38 al. 1 let. a à c LVLP, que, faute de comporter des conclusions conformes aux exigences des règles de procédure, le recours est irrecevable, que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