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96 vom 25. September 2009</w:t>
      </w:r>
    </w:p>
    <w:p>
      <w:r>
        <w:t>VD Tribunal cantonal, 2009-09-25, FR</w:t>
      </w:r>
    </w:p>
    <w:p>
      <w:r>
        <w:rPr>
          <w:b/>
        </w:rPr>
        <w:t xml:space="preserve">Quelle: </w:t>
      </w:r>
      <w:r>
        <w:t>https://mcp.opencaselaw.ch/entscheid/vd_findinfo_ML___2009___96</w:t>
      </w:r>
    </w:p>
    <w:p>
      <w:r>
        <w:t>FR: VD_FINDINFO ML / 2009 / 96 du 25 septembre 2009</w:t>
      </w:r>
    </w:p>
    <w:p>
      <w:r>
        <w:t>IT: VD_FINDINFO ML / 2009 / 96 del 25 settembre 2009</w:t>
      </w:r>
    </w:p>
    <w:p>
      <w:pPr>
        <w:pStyle w:val="Heading2"/>
      </w:pPr>
      <w:r>
        <w:t>Regeste</w:t>
      </w:r>
    </w:p>
    <w:p>
      <w:r>
        <w:t>CONCLUSIONS, DÉCISION D'IRRECEVABILITÉ, DÉLAI DE RECOURS | 17 CPC, 461 CPC, 464 CPC, 58 al. 1 LVLP</w:t>
      </w:r>
    </w:p>
    <w:p>
      <w:pPr>
        <w:pStyle w:val="Heading2"/>
      </w:pPr>
      <w:r>
        <w:t>Volltext</w:t>
      </w:r>
    </w:p>
    <w:p>
      <w:r>
        <w:t>Vaud Tribunal cantonal Cour des poursuites et faillites 25.09.2009 ML / 2009 / 96</w:t>
      </w:r>
    </w:p>
    <w:p>
      <w:r>
        <w:t>CONCLUSIONS, DÉCISION D'IRRECEVABILITÉ, DÉLAI DE RECOURS | 17 CPC, 461 CPC, 464 CPC, 58 al. 1 LVLP</w:t>
      </w:r>
    </w:p>
    <w:p>
      <w:r>
        <w:t>TRIBUNAL CANTONAL 314 Cour des poursuites et faillites ________________________________________________ Arrêt du 25 septembre 2009 ______________________ Présidence de   M. Muller , président Juges : MM.     Bosshard et  Denys Greffier : Mme   Debétaz Ponnaz ***** Art. 58 al. 1 LVLP, 17, 461 et 464 CPC Vu le prononcé de mainlevée définitive rendu le 20 février 2009 par le Juge de paix du district de Nyon dans la poursuite n° 4'116'865 de l'Office des poursuites et faillites de Nyon-Rolle exercée contre L.________ , à Nyon, à l'instance de la Confédération suisse , représentée par l' Administration fiscale cantonale genevoise , vu le recours formé par le poursuivi contre ce prononcé, qu'il avait reçu le 3 mars 2009, par acte daté du 9 et posté le 10 mars 2009, accompagné de pièces nouvelles, vu le prononcé motivé adressé pour notification aux parties le 20 mars 2009; attendu que le recours, déposé dans le délai de demande de motivation (art. 54 al. 1 et 3 LVLP - loi vaudoise d'application de la loi fédérale sur la poursuite pour dettes et la faillite; RSV 280.05), a été exercé en temps utile, qu'en revanche, il ne comporte aucune conclusion en réforme ou en nullité ni aucun moyen de recours reconnaissable contre la décision de mainlevée, au sens des art. 461 ss CPC (Code de procédure civile; RSV 270.11) applicables par le renvoi de l'art. 58 al. 1 LVLP, qu'en outre, les pièces produites avec le recours qui n'ont pas été soumises au premier juge sont irrecevables, l'administration de preuves nouvelles étant interdite en deuxième instance en matière de mainlevée d'opposition (art. 58 al. 3 LVLP), que, par courrier recommandé du 5 mai 2009 avec accusé de réception, le président de la cour de céans, en application de l'art. 17 CPC,  a renvoyé son acte à L.________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selon l'accusé de réception figurant au dossier, l'intéressé a reçu cet avis le 8 mai 2009, que l'échéance du délai de cinq jours tombait donc le 13 mai 2009, que le recourant a déposé une nouvelle écriture le 15 mai 2009, que, constatant que ce recours était apparemment tardif, le président de la cour de céans, par avis du 19 mai 2009, a informé L.________ que son recours pourrait être déclaré irrecevable pour tardiveté et que la cour statuerait sur cette irrecevabilité éventuelle à l'échéance du délai au 2 juin 2009, dans lequel il lui était loisible de formuler toutes observations utiles (art. 464 CPC), que, selon les informations d'acheminement postal figurant au dossier, le recourant a reçu cet avis le 2 juin 2009, qu'il n'y a donné aucune suite à cette date et n'a pas non plus requis la prolongation du délai pour y donner suite, que, dans ces conditions, l'écriture déposée le 15 mai 2009 doit être écartée pour tardiveté, que, faute de comporter des conclusions conformes aux exigences de la procédure, le recours du 10 mars 2009 est également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25 septembre 2009 L'arrêt qui précède, dont la rédaction a été approuvée à huis clos, prend date de ce jour. Il est notifié, par l'envoi de photocopies, à : ‑      M. L.________, ‑ Administration fiscale cantonale genevoise (pour la Confédération suisse).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