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89 vom 3. September 2009</w:t>
      </w:r>
    </w:p>
    <w:p>
      <w:r>
        <w:t>VD Tribunal cantonal, 2009-09-03, FR</w:t>
      </w:r>
    </w:p>
    <w:p>
      <w:r>
        <w:rPr>
          <w:b/>
        </w:rPr>
        <w:t xml:space="preserve">Quelle: </w:t>
      </w:r>
      <w:r>
        <w:t>https://mcp.opencaselaw.ch/entscheid/vd_findinfo_ML___2009___89</w:t>
      </w:r>
    </w:p>
    <w:p>
      <w:r>
        <w:t>FR: VD_FINDINFO ML / 2009 / 89 du 3 septembre 2009</w:t>
      </w:r>
    </w:p>
    <w:p>
      <w:r>
        <w:t>IT: VD_FINDINFO ML / 2009 / 89 del 3 settembre 2009</w:t>
      </w:r>
    </w:p>
    <w:p>
      <w:pPr>
        <w:pStyle w:val="Heading2"/>
      </w:pPr>
      <w:r>
        <w:t>Regeste</w:t>
      </w:r>
    </w:p>
    <w:p>
      <w:r>
        <w:t>DÉCISION D'IRRECEVABILITÉ, CONCLUSIONS | 17 CPC, 461 CPC, 465 al. 3 CPC, 58 al. 1 LVLP</w:t>
      </w:r>
    </w:p>
    <w:p>
      <w:pPr>
        <w:pStyle w:val="Heading2"/>
      </w:pPr>
      <w:r>
        <w:t>Volltext</w:t>
      </w:r>
    </w:p>
    <w:p>
      <w:r>
        <w:t>Vaud Tribunal cantonal Cour des poursuites et faillites 03.09.2009 ML / 2009 / 89</w:t>
      </w:r>
    </w:p>
    <w:p>
      <w:r>
        <w:t>DÉCISION D'IRRECEVABILITÉ, CONCLUSIONS | 17 CPC, 461 CPC, 465 al. 3 CPC, 58 al. 1 LVLP</w:t>
      </w:r>
    </w:p>
    <w:p>
      <w:r>
        <w:t>TRIBUNAL CANTONAL 275 Cour des poursuites et faillites ________________________________________________ Arrêt du 3 septembre 2009 _____________________ Présidence de   M. Muller , président Juges : Mme   Carlsson et M. Hack Greffier : Mme   Debétaz Ponnaz ***** Art. 58 al. 1 LVLP, 17, 461 et  465 al. 3 CPC Vu la décision rendue le 24 mars 2009, à la suite de l'audience du 19 mars 2009, par le Juge de paix du district de Morges, prononçant la mainlevée définitive, à concurrence de 330 fr. sans intérêt, de l'opposition formée par G.________ , à Etoy, à la poursuite n° 3'199'215 de l'Office des poursuites de Morges-Aubonne exercée contre lui à l'instance de l' Etat de Vaud , Département de l'Intérieur, Secteur Recouvrement &amp; Bureau A.J. , à Lausanne, vu la lettre postée le 1 er avril 2009, soit dans le délai de demande de motivation, dans laquelle le poursuivi a déclaré faire "opposition" au prononcé précité, vu le prononcé motivé adressé pour notification aux parties le 8 avril 2009;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l'acte déposé le 1 er avril 2009, s'il s'agit d'un recours, a été déposé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G.________ par courrier recommandé du 22 mai 2009, en le priant de faire savoir à la cour si cet acte devait être considéré comme un recours contre le prononcé de mainlevée, auquel cas un délai au 3 juin 2009 lui était imparti pour le refaire en précisant ses conclusions et notamment le montant exact - en chiffres - qu'il contestait ou reconnaissait devoir, faute de quoi le recours pourrait être déclaré irrecevable, que, par lettre du 2 juin 2009, l'intéressé a déclaré faire recours en nullité et contesté pour le surplus l'arrêt du Tribunal d'accusation sur la base duquel le premier juge a prononcé la mainlevée définitive de l'opposition, que, selon l'art. 465 al. 3 CPC, si le recours tend à la nullité, le mémoire du recourant doit énoncer séparément les moyens invoqués, qu'en l'espèce, le recours ne satisfait pas à cette exigence, dès lors qu'il n'indique aucun moyen de nullité, qu'il ne comporte par ailleurs aucune conclusion, même implicite, en réforme ni aucun moyen de recours reconnaissable contre la décision de mainlevée, que le recourant remet en cause le contenu de l'arrêt du Tribunal d'accusation à la base de la décision de mainlevée, que ni le juge ni l'autorité de recours en matière de mainlevée n'ont le pouvoir de réexaminer le contenu d'un jugement exécutoire valant titre de mainlevée définitive, que, faute de comporter des conclusions valables, le recours est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3 septembre 2009 L'arrêt qui précède, dont la rédaction a été approuvée à huis clos, prend date de ce jour. Il est notifié, par l'envoi de photocopies, à : ‑      M. G.________, ‑      Etat de Vaud, Département de l'Intérieur, Secteur Recouvrement et Bureau A.J.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