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71 vom 24. Juli 2009</w:t>
      </w:r>
    </w:p>
    <w:p>
      <w:r>
        <w:t>VD Tribunal cantonal, 2009-07-24, FR</w:t>
      </w:r>
    </w:p>
    <w:p>
      <w:r>
        <w:rPr>
          <w:b/>
        </w:rPr>
        <w:t xml:space="preserve">Quelle: </w:t>
      </w:r>
      <w:r>
        <w:t>https://mcp.opencaselaw.ch/entscheid/vd_findinfo_ML___2009___71</w:t>
      </w:r>
    </w:p>
    <w:p>
      <w:r>
        <w:t>FR: VD_FINDINFO ML / 2009 / 71 du 24 juillet 2009</w:t>
      </w:r>
    </w:p>
    <w:p>
      <w:r>
        <w:t>IT: VD_FINDINFO ML / 2009 / 71 del 24 luglio 2009</w:t>
      </w:r>
    </w:p>
    <w:p>
      <w:pPr>
        <w:pStyle w:val="Heading2"/>
      </w:pPr>
      <w:r>
        <w:t>Regeste</w:t>
      </w:r>
    </w:p>
    <w:p>
      <w:r>
        <w:t>INTERDICTION DE L'ARBITRAIRE | 39 al. 3 LVLP</w:t>
      </w:r>
    </w:p>
    <w:p>
      <w:pPr>
        <w:pStyle w:val="Heading2"/>
      </w:pPr>
      <w:r>
        <w:t>Erwägungen</w:t>
      </w:r>
    </w:p>
    <w:p>
      <w:r>
        <w:rPr>
          <w:b/>
        </w:rPr>
        <w:t>E. 1</w:t>
      </w:r>
    </w:p>
    <w:p>
      <w:r>
        <w:t>er novembre 2007/403; CPF, 2 février 2006/24; CPF, 27 mai 2004; CPF, 24 février 2005/37 et les références citées dans ces arrêts), que, dans ces conditions, la décision du premier juge, qui se fonde sur la jurisprudence constante de la cour de céans, est certes fausse au regard de l'arrêt du 21 novembre 2008 du Tribunal fédéral mais n'apparaît pas arbitraire, que le recours doit ainsi être rejeté en application de l'art. 465 al. 1 CPC et le prononcé confirmé; considérant que les frais du présent arrêt, par 2'250 fr., sont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