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59 vom 23. Juni 2009</w:t>
      </w:r>
    </w:p>
    <w:p>
      <w:r>
        <w:t>VD Tribunal cantonal, 2009-06-23, FR</w:t>
      </w:r>
    </w:p>
    <w:p>
      <w:r>
        <w:rPr>
          <w:b/>
        </w:rPr>
        <w:t xml:space="preserve">Quelle: </w:t>
      </w:r>
      <w:r>
        <w:t>https://mcp.opencaselaw.ch/entscheid/vd_findinfo_ML___2009___59</w:t>
      </w:r>
    </w:p>
    <w:p>
      <w:r>
        <w:t>FR: VD_FINDINFO ML / 2009 / 59 du 23 juin 2009</w:t>
      </w:r>
    </w:p>
    <w:p>
      <w:r>
        <w:t>IT: VD_FINDINFO ML / 2009 / 59 del 23 giugno 2009</w:t>
      </w:r>
    </w:p>
    <w:p>
      <w:pPr>
        <w:pStyle w:val="Heading2"/>
      </w:pPr>
      <w:r>
        <w:t>Regeste</w:t>
      </w:r>
    </w:p>
    <w:p>
      <w:r>
        <w:t>CONCLUSIONS, MAINLEVÉE{LP} | 17 CPC</w:t>
      </w:r>
    </w:p>
    <w:p>
      <w:pPr>
        <w:pStyle w:val="Heading2"/>
      </w:pPr>
      <w:r>
        <w:t>Volltext</w:t>
      </w:r>
    </w:p>
    <w:p>
      <w:r>
        <w:t>Vaud Tribunal cantonal Cour des poursuites et faillites 23.06.2009 ML / 2009 / 59</w:t>
      </w:r>
    </w:p>
    <w:p>
      <w:r>
        <w:t>CONCLUSIONS, MAINLEVÉE{LP} | 17 CPC</w:t>
      </w:r>
    </w:p>
    <w:p>
      <w:r>
        <w:t>TRIBUNAL CANTONAL 190 Cour des poursuites et faillites ________________________________________________ Arrêt du 23 juin 2009 _________________ Présidence de   M.     M U L L E R, président Juges      : MM. Bosshard et Hack Greffier    : Mme Joye ***** Art. 58 LVLP; 17 et 461 CPC Vu le prononcé rendu le 22 janvier 2009, à la suite de l'audience du 15 janvier 2009, par le Juge de paix du district Morges dans la cause opposant T.________ , à Préverenges, à B.________ , à Lonay (poursuite n° 3'188'735 de l'Office des poursuites de Morges-Aubonne), vu la demande de motivation déposée par T.________ le 28 janvier 2009, vu le prononcé motivé adressé pour notification aux parties le 10 février 2009, vu l'acte de recours déposé par T.________ le 18 février 2009 ; considérant que l'acte de recours a été déposé en temps utile (art. 57 al. 1 LP), que dans cette écriture, le recourant explique longuement sa situation, sans toutefois chiffrer ni préciser ce qu'il conteste dans la décision attaquée, qu'il formule une conclusion tendant « très subsidiairement, à l'annula-tion du jugement », sans toutefois invoquer d'irrégularité dans la procédure suivie ; considérant que le prononcé motivé précisait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 applicable par le renvoi de l'art. 58 al. 1 LVLP), que l'avis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que, par avis du 12 mars 2009, le président de la cour de céans, en application de l'article 17 CPC, a imparti au recourant un délai de cinq jours pour refaire son acte, en précisant le montant exact qu'il réclamait, contestait devoir ou reconnaissait devoir, faute de quoi le recours pourrait être déclaré irrecevable, que le recourant n'a pas retiré ce pli, qui a été retourné au greffe avec la mention "non réclamé", que, selon une jurisprudence constante, un envoi recommandé qui n'a pu être distribué est réputé notifié le dernier jour du délai de garde postal de sept jours suivant la remise de l'avis d'arrivée dans la boîte aux lettres ou la case postale invitant son destinataire à retirer le pli à l'office de poste (CPF, 12 février 2004/41; CPF,  26 juin 2003/242 et arrêts cités), soit en l'espèce le 20 mars 2009, que la fiction de la notification vaut en tout cas si le destinataire devait s'attendre, avec une certaine probabilité, à recevoir une communication des autorités (ATF 123 III 492 c. 1, JT 1999 II 109; SJ 1999 p. 145; CPF, 6 novembre 2000/445), ce qui est le cas du poursuivi, qui avait formé recours contre le prononcé de main-levée et devait s'attendre à recevoir des actes judiciaires, que le recourant n'a pas déposé de nouvel acte de recours conforme dans le délai imparti, que, faute de satisfaire aux exigences de l'art. 461 CPC, applicable par le renvoi de l'art. 58 al. 1 LVLP, son recours est ainsi irrecevable, qu'il doit donc être écarté, le prononcé entrepris étant maintenu ; considérant que l'arrêt est rendu sans frais ni dépens. Par ces motifs, la Cour des poursuites et faillites du Tribunal cantonal, statuant à huis clos en sa qualité d'autorité de recours en matière sommaire de poursuites, prononce : I. Le recours est écarté. II. Le prononcé est confirmé. III. Le présent arrêt, rendu sans frais ni dépens, est exécutoire. Le président : La greffière : Du 23 juin 2009 L'arrêt qui précède, dont la rédaction a été approuvée à huis clos, prend date de ce jour. Il est notifié, par l'envoi de photocopies, à : ‑      M. T.________, ‑      Me Laurent Trivelli, avocat (pour B.________ ).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