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2009 / 43 vom 26. März 2009</w:t>
      </w:r>
    </w:p>
    <w:p>
      <w:r>
        <w:t>VD Tribunal cantonal, 2009-03-26, FR</w:t>
      </w:r>
    </w:p>
    <w:p>
      <w:r>
        <w:rPr>
          <w:b/>
        </w:rPr>
        <w:t xml:space="preserve">Quelle: </w:t>
      </w:r>
      <w:r>
        <w:t>https://mcp.opencaselaw.ch/entscheid/vd_findinfo_ML___2009___43</w:t>
      </w:r>
    </w:p>
    <w:p>
      <w:r>
        <w:t>FR: VD_FINDINFO ML / 2009 / 43 du 26 mars 2009</w:t>
      </w:r>
    </w:p>
    <w:p>
      <w:r>
        <w:t>IT: VD_FINDINFO ML / 2009 / 43 del 26 marzo 2009</w:t>
      </w:r>
    </w:p>
    <w:p>
      <w:pPr>
        <w:pStyle w:val="Heading2"/>
      </w:pPr>
      <w:r>
        <w:t>Regeste</w:t>
      </w:r>
    </w:p>
    <w:p>
      <w:r>
        <w:t>CITATION À COMPARAÎTRE, NOTIFICATION IRRÉGULIÈRE | 22 al. 3 CPC, 38 al. 1 let. b LVLP, 50 LVLP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al. 3 CPC. A défaut, la notification de la citation à comparaître est irrégulière (CPF, 18 septembre 2008/445; CPF, 20 septembre 2007/345; CPF, 16 août 2007/274; CPF, 22 février 2007/52 et réf. cit.). Le Tribunal fédéral a considéré qu'un jugement de mainlevée était nul quand le poursuivi n'avait reçu ni la convocation à l'audience ni le jugement de mainlevée lui-même (ATF 102 III 133, rés. in JT 1978 II 62). La cour de céans a admis que l'assignation irrégulière, qui constitue un motif de nullité au sens de l'art. 38 al. 1 let. b LVLP, n'entraînait toutefois pas la nullité absolue du jugement, mais devait être expressément soulevée dans un recours (CPF, 22 février 2007/52 précité et la réf. au JT 1990 III 100). En l'espèce, la recourante n'a pas été régulièrement citée à comparaître. Le moyen soulevé à l'appui du recours en nullité doit ainsi être admis. III. Vu ce qui précède, l e recours doit être admis, le prononcé annulé et la cause renvoyée au premier juge afin qu'il convoque les parties à une nouvelle audience de mainlevée, ce qu'il pourra faire à l'adresse de leurs conseils (art. 50 al. 1 in fine LVLP). Les frais de deuxième instance de la recourante sont fixés à 315 francs. L'intimée doit lui verser la somme de 515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