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28 vom 29. April 2009</w:t>
      </w:r>
    </w:p>
    <w:p>
      <w:r>
        <w:t>VD Tribunal cantonal, 2009-04-29, FR</w:t>
      </w:r>
    </w:p>
    <w:p>
      <w:r>
        <w:rPr>
          <w:b/>
        </w:rPr>
        <w:t xml:space="preserve">Quelle: </w:t>
      </w:r>
      <w:r>
        <w:t>https://mcp.opencaselaw.ch/entscheid/vd_findinfo_ML___2009___28</w:t>
      </w:r>
    </w:p>
    <w:p>
      <w:r>
        <w:t>FR: VD_FINDINFO ML / 2009 / 28 du 29 avril 2009</w:t>
      </w:r>
    </w:p>
    <w:p>
      <w:r>
        <w:t>IT: VD_FINDINFO ML / 2009 / 28 del 29 aprile 2009</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29.04.2009 ML / 2009 / 28</w:t>
      </w:r>
    </w:p>
    <w:p>
      <w:r>
        <w:t>DÉCISION D'IRRECEVABILITÉ, OBLIGATION DE CHIFFRER LES CONCLUSIONS | 17 CPC, 461 CPC, 58 al. 1 LVLP</w:t>
      </w:r>
    </w:p>
    <w:p>
      <w:r>
        <w:t>TRIBUNAL CANTONAL 135 Cour des poursuites et faillites ________________________________________________ Arrêt du 29 avril 2009 _________________ Présidence de   M. Muller , président Juges :         Mme Carlsson et M. Sauterel Greffier :         Mme Debétaz Ponnaz ***** Art. 58 al. 1 LVLP; 17 et 461 CPC Vu le prononcé rendu le 10 décembre 2008, à la suite de l'audience du 3 décembre 2008, par le Juge de paix du district de La Riviera-Pays-d'Enhaut, prononçant la mainlevée provisoire, à concurrence de 12'057 fr. 15 plus intérêt à 5 % l'an dès le 21 avril 2008, de l'opposition formée par M.________ , alors à Saint-Légier, actuellement à Lausanne, à la poursuite n° 524'535 de l'Office des poursuites et faillites de Vevey exercée contre lui à l'instance d' A.________AG , à Winterthur, vu la lettre datée du 15 et postée le 17 décembre 2008, dans laquelle le poursuivi a fait part de son opposition à la décision de mainlevée, précisant par la suite que cette lettre devait être considérée comme un recours, vu la décision motivée adressée pour notification aux parties le 8 janvier 2009, vu la lettre datée du 18 et postée le 19 janvier 2009, dans laquelle le poursuivi a déclaré contester le prononcé de mainlevée, indiquant qu'il était "d'accord avec le fait [qu'il devait] six mois de leasing" à la poursuivante mais contestait devoir payer un plus; attendu que le recours a été formé en temps utile, tant dans le délai de demande de motivation (art. 54 al. 3 LVLP - loi vaudoise d'application de la loi fédérale sur la poursuite pour dettes et la faillite; RSV 280.05) que dans le délai de dix jours suivant la réception de la décision motivée (art. 57 al. 1 LVLP),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M.________ par courrier recommandé du 26 janvier 2009 avec accusé de réception, et lui a imparti un délai de cinq jours pour le refaire en précisant ses conclusions et notamment le montant exact - en chiffres - qu'il contestait ou reconnaissait devoir, faute de quoi le recours pourrait être déclaré irrecevable, que cet avis, expédié dans un premier temps à Saint-Légier, à l'adresse professionnelle que M.________ avait communiquée, lui a été réexpédié à son adresse privée, à Lausanne, le 30 janvier 2009, qu'il a été retourné par la Poste au greffe de la cour de céans à l'échéance du délai de garde avec la mention "non réclamé", que le destinataire d'un pli non retiré dans le délai de garde de sept jours est censé l'avoir reçu le dernier jour de ce délai (Poudret/Haldy/Tappy, Procédure civile vaudoise, n. 1.2 ad art. 23 CPC), à condition qu'il doive s'attendre à recevoir un acte judiciaire, ce qui est le cas en l'espèce de M.________ qui, ayant formé un recours, devait s'attendre à recevoir un pli de l'autorité judiciaire compétente, que l'intéressé n'a donné aucune suite à l'avis précité dans le délai imparti, que, faute de comporter des conclusions suffisantes, son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29 avril 2009 L'arrêt qui précède, dont la rédaction a été approuvée à huis clos, prend date de ce jour. Il est notifié, par l'envoi de photocopies, à : ‑      M. M.________, ‑ A.________AG.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